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8184388" w:rsidR="002753B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5B403969" w14:textId="3387B519"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 xml:space="preserve">N°: </w:t>
      </w:r>
      <w:r w:rsidR="00F87763">
        <w:rPr>
          <w:b/>
          <w:sz w:val="28"/>
        </w:rPr>
        <w:t>2</w:t>
      </w:r>
      <w:r w:rsidR="00712DEE" w:rsidRPr="006D690F">
        <w:rPr>
          <w:b/>
          <w:sz w:val="28"/>
          <w:highlight w:val="green"/>
        </w:rPr>
        <w:t>X</w:t>
      </w:r>
      <w:r w:rsidR="00F87763">
        <w:rPr>
          <w:b/>
          <w:sz w:val="28"/>
        </w:rPr>
        <w:t>-</w:t>
      </w:r>
      <w:r w:rsidR="005430E0">
        <w:rPr>
          <w:b/>
          <w:sz w:val="28"/>
        </w:rPr>
        <w:t>AC</w:t>
      </w:r>
      <w:r w:rsidRPr="00B42F7B">
        <w:rPr>
          <w:b/>
          <w:sz w:val="28"/>
          <w:highlight w:val="green"/>
        </w:rPr>
        <w:t>XXXX</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615EEB" w:rsidRDefault="00F26086" w:rsidP="00160DE3">
      <w:pPr>
        <w:tabs>
          <w:tab w:val="right" w:pos="9356"/>
        </w:tabs>
        <w:spacing w:before="0" w:beforeAutospacing="0" w:after="0" w:afterAutospacing="0" w:line="300" w:lineRule="atLeast"/>
        <w:jc w:val="both"/>
        <w:rPr>
          <w:sz w:val="22"/>
          <w:szCs w:val="22"/>
        </w:rPr>
      </w:pPr>
      <w:r w:rsidRPr="00615EEB">
        <w:rPr>
          <w:sz w:val="22"/>
          <w:szCs w:val="22"/>
        </w:rPr>
        <w:t>Le présent contrat est soumis au Code de la commande publique français (CCP) dans sa version en vigueur issue de l'</w:t>
      </w:r>
      <w:hyperlink r:id="rId8" w:history="1">
        <w:r w:rsidRPr="00615EEB">
          <w:rPr>
            <w:sz w:val="22"/>
            <w:szCs w:val="22"/>
          </w:rPr>
          <w:t>ordonnance n° 2018-1074 du 26 novembre 2018</w:t>
        </w:r>
      </w:hyperlink>
      <w:r w:rsidRPr="00615EEB">
        <w:rPr>
          <w:sz w:val="22"/>
          <w:szCs w:val="22"/>
        </w:rPr>
        <w:t xml:space="preserve"> portant partie législative et du </w:t>
      </w:r>
      <w:hyperlink r:id="rId9" w:history="1">
        <w:r w:rsidRPr="00615EEB">
          <w:rPr>
            <w:sz w:val="22"/>
            <w:szCs w:val="22"/>
          </w:rPr>
          <w:t>décret n° 2018-1075 du 3 décembre 2018</w:t>
        </w:r>
      </w:hyperlink>
      <w:r w:rsidRPr="00615EEB">
        <w:rPr>
          <w:sz w:val="22"/>
          <w:szCs w:val="22"/>
        </w:rPr>
        <w:t xml:space="preserve"> portant partie réglementaire du Code de la commande publique.</w:t>
      </w:r>
    </w:p>
    <w:p w14:paraId="14C68384" w14:textId="77777777" w:rsidR="00F26086" w:rsidRPr="00615EEB" w:rsidRDefault="00F26086" w:rsidP="00F26086">
      <w:pPr>
        <w:tabs>
          <w:tab w:val="left" w:pos="510"/>
          <w:tab w:val="left" w:pos="10977"/>
        </w:tabs>
        <w:spacing w:before="120"/>
        <w:ind w:right="83"/>
        <w:jc w:val="both"/>
        <w:rPr>
          <w:sz w:val="22"/>
          <w:szCs w:val="22"/>
        </w:rPr>
      </w:pPr>
      <w:r w:rsidRPr="00615EEB">
        <w:rPr>
          <w:sz w:val="22"/>
          <w:szCs w:val="22"/>
        </w:rPr>
        <w:t xml:space="preserve">Il est passé par soit : </w:t>
      </w:r>
    </w:p>
    <w:p w14:paraId="758504D2" w14:textId="0EB959EC" w:rsidR="00A62B15" w:rsidRPr="00615EEB" w:rsidRDefault="00EB21B2" w:rsidP="00EB21B2">
      <w:pPr>
        <w:tabs>
          <w:tab w:val="left" w:pos="510"/>
          <w:tab w:val="left" w:pos="10977"/>
        </w:tabs>
        <w:spacing w:before="120"/>
        <w:ind w:right="-29"/>
        <w:jc w:val="both"/>
        <w:rPr>
          <w:sz w:val="22"/>
          <w:szCs w:val="22"/>
        </w:rPr>
      </w:pPr>
      <w:r>
        <w:rPr>
          <w:sz w:val="22"/>
          <w:szCs w:val="22"/>
        </w:rPr>
        <w:t xml:space="preserve">Procédure adaptée ouverte conformément au code de la commande publique articles </w:t>
      </w:r>
      <w:r w:rsidRPr="00EB21B2">
        <w:rPr>
          <w:sz w:val="22"/>
          <w:szCs w:val="22"/>
        </w:rPr>
        <w:t>L2123-1, R2123-1 à R2123-8</w:t>
      </w:r>
    </w:p>
    <w:p w14:paraId="2FB41BEA" w14:textId="77777777" w:rsidR="00A62B15" w:rsidRPr="00615EEB" w:rsidRDefault="00A62B15" w:rsidP="00F26086">
      <w:pPr>
        <w:tabs>
          <w:tab w:val="right" w:pos="9327"/>
        </w:tabs>
        <w:spacing w:before="0" w:beforeAutospacing="0" w:after="0" w:afterAutospacing="0"/>
        <w:rPr>
          <w:sz w:val="22"/>
          <w:szCs w:val="22"/>
        </w:rPr>
      </w:pPr>
    </w:p>
    <w:p w14:paraId="0930B2E3" w14:textId="77BB5A38" w:rsidR="00ED47AF" w:rsidRDefault="00A62B15" w:rsidP="00D36DF6">
      <w:pPr>
        <w:tabs>
          <w:tab w:val="right" w:pos="9327"/>
        </w:tabs>
        <w:spacing w:before="0" w:beforeAutospacing="0" w:after="0" w:afterAutospacing="0"/>
        <w:rPr>
          <w:sz w:val="22"/>
          <w:szCs w:val="22"/>
        </w:rPr>
      </w:pPr>
      <w:r w:rsidRPr="00615EEB">
        <w:rPr>
          <w:sz w:val="22"/>
          <w:szCs w:val="22"/>
        </w:rPr>
        <w:t>Accord-cadre à bons de commande s’entendent au sens des</w:t>
      </w:r>
      <w:r w:rsidR="00AC53CA" w:rsidRPr="00615EEB">
        <w:rPr>
          <w:sz w:val="22"/>
          <w:szCs w:val="22"/>
        </w:rPr>
        <w:t xml:space="preserve"> articles R. 2162-1 et R.2162-</w:t>
      </w:r>
      <w:r w:rsidRPr="00615EEB">
        <w:rPr>
          <w:sz w:val="22"/>
          <w:szCs w:val="22"/>
        </w:rPr>
        <w:t>14 du CCP</w:t>
      </w:r>
      <w:r w:rsidR="00AC53CA" w:rsidRPr="00615EEB">
        <w:rPr>
          <w:sz w:val="22"/>
          <w:szCs w:val="22"/>
        </w:rPr>
        <w:t>.</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4AE26659" w:rsidR="00706AD0" w:rsidRDefault="00706AD0" w:rsidP="005A6E25">
      <w:pPr>
        <w:spacing w:before="0" w:beforeAutospacing="0" w:after="0" w:afterAutospacing="0"/>
        <w:jc w:val="both"/>
        <w:rPr>
          <w:sz w:val="24"/>
        </w:rPr>
      </w:pPr>
      <w:r w:rsidRPr="000B56AA">
        <w:rPr>
          <w:sz w:val="24"/>
        </w:rPr>
        <w:t xml:space="preserve">Adresse: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51F1961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proofErr w:type="gramStart"/>
      <w:r>
        <w:rPr>
          <w:sz w:val="24"/>
        </w:rPr>
        <w:t>r</w:t>
      </w:r>
      <w:r w:rsidR="006226CE" w:rsidRPr="006226CE">
        <w:rPr>
          <w:sz w:val="24"/>
        </w:rPr>
        <w:t>eprésentée</w:t>
      </w:r>
      <w:proofErr w:type="gramEnd"/>
      <w:r w:rsidR="006226CE" w:rsidRPr="006226CE">
        <w:rPr>
          <w:sz w:val="24"/>
        </w:rPr>
        <w:t xml:space="preserv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0B1BECD7" w:rsidR="005A6E25" w:rsidRPr="00016373" w:rsidRDefault="00016373" w:rsidP="005A6E25">
      <w:pPr>
        <w:jc w:val="both"/>
        <w:rPr>
          <w:sz w:val="24"/>
        </w:rPr>
      </w:pPr>
      <w:proofErr w:type="gramStart"/>
      <w:r w:rsidRPr="00016373">
        <w:rPr>
          <w:sz w:val="24"/>
        </w:rPr>
        <w:t>représenté</w:t>
      </w:r>
      <w:proofErr w:type="gramEnd"/>
      <w:r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proofErr w:type="spellStart"/>
            <w:r w:rsidR="00E63F0A">
              <w:rPr>
                <w:b/>
                <w:sz w:val="24"/>
                <w:highlight w:val="yellow"/>
              </w:rPr>
              <w:t>immatriculation</w:t>
            </w:r>
            <w:r w:rsidRPr="00016373">
              <w:rPr>
                <w:b/>
                <w:sz w:val="24"/>
                <w:highlight w:val="yellow"/>
              </w:rPr>
              <w:t>de</w:t>
            </w:r>
            <w:proofErr w:type="spellEnd"/>
            <w:r w:rsidRPr="00016373">
              <w:rPr>
                <w:b/>
                <w:sz w:val="24"/>
                <w:highlight w:val="yellow"/>
              </w:rPr>
              <w:t xml:space="preserv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7D596470"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proofErr w:type="gramStart"/>
      <w:r w:rsidR="00BC37E6">
        <w:rPr>
          <w:sz w:val="24"/>
        </w:rPr>
        <w:t xml:space="preserve"> </w:t>
      </w:r>
      <w:r w:rsidRPr="00837DF1">
        <w:rPr>
          <w:sz w:val="24"/>
        </w:rPr>
        <w:t>«</w:t>
      </w:r>
      <w:r w:rsidR="00BC37E6" w:rsidRPr="00FC30AF">
        <w:rPr>
          <w:sz w:val="24"/>
        </w:rPr>
        <w:t>C</w:t>
      </w:r>
      <w:r w:rsidRPr="00FC30AF">
        <w:rPr>
          <w:sz w:val="24"/>
        </w:rPr>
        <w:t>ontractant</w:t>
      </w:r>
      <w:proofErr w:type="gramEnd"/>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00615EEB">
        <w:rPr>
          <w:sz w:val="24"/>
        </w:rPr>
        <w:t>.</w:t>
      </w:r>
      <w:r w:rsidR="0021060A" w:rsidRPr="00E9243B">
        <w:rPr>
          <w:sz w:val="24"/>
        </w:rPr>
        <w:t xml:space="preserve"> </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0D1AD322" w:rsidR="00A861C5" w:rsidRPr="00A861C5" w:rsidRDefault="00A861C5" w:rsidP="00A861C5">
      <w:pPr>
        <w:rPr>
          <w:sz w:val="24"/>
        </w:rPr>
      </w:pPr>
      <w:proofErr w:type="gramStart"/>
      <w:r w:rsidRPr="00A861C5">
        <w:rPr>
          <w:sz w:val="24"/>
        </w:rPr>
        <w:t>des</w:t>
      </w:r>
      <w:proofErr w:type="gramEnd"/>
      <w:r w:rsidRPr="00A861C5">
        <w:rPr>
          <w:sz w:val="24"/>
        </w:rPr>
        <w:t xml:space="preserve">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r w:rsidR="00EB21B2">
        <w:rPr>
          <w:sz w:val="24"/>
        </w:rPr>
        <w:t xml:space="preserve"> et complété par le CCAG-FCS dans sa dernière version en vigueur</w:t>
      </w:r>
      <w:r w:rsidRPr="00A861C5">
        <w:rPr>
          <w:sz w:val="24"/>
        </w:rPr>
        <w:t>:</w:t>
      </w:r>
    </w:p>
    <w:p w14:paraId="2F446C15" w14:textId="46B024ED" w:rsidR="00A861C5" w:rsidRPr="00A861C5" w:rsidRDefault="00A861C5" w:rsidP="00A861C5">
      <w:pPr>
        <w:ind w:left="1560" w:hanging="1560"/>
        <w:jc w:val="both"/>
      </w:pPr>
      <w:r w:rsidRPr="00A861C5">
        <w:rPr>
          <w:b/>
          <w:sz w:val="24"/>
        </w:rPr>
        <w:t>Annexe I –</w:t>
      </w:r>
      <w:r w:rsidRPr="00A861C5">
        <w:rPr>
          <w:b/>
          <w:sz w:val="24"/>
        </w:rPr>
        <w:tab/>
      </w:r>
      <w:r w:rsidR="00615EEB">
        <w:rPr>
          <w:sz w:val="24"/>
        </w:rPr>
        <w:t>Cahier des charges</w:t>
      </w:r>
    </w:p>
    <w:p w14:paraId="6EF33CD0" w14:textId="7097DC51"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Off</w:t>
      </w:r>
      <w:r w:rsidR="00615EEB">
        <w:rPr>
          <w:sz w:val="24"/>
        </w:rPr>
        <w:t>re du contractant</w:t>
      </w:r>
      <w:r w:rsidRPr="00A861C5">
        <w:rPr>
          <w:sz w:val="24"/>
        </w:rPr>
        <w:t xml:space="preserve"> du [</w:t>
      </w:r>
      <w:r w:rsidRPr="000A2F66">
        <w:rPr>
          <w:i/>
          <w:sz w:val="24"/>
          <w:highlight w:val="yellow"/>
        </w:rPr>
        <w:t>date</w:t>
      </w:r>
      <w:r w:rsidRPr="00A861C5">
        <w:rPr>
          <w:sz w:val="24"/>
        </w:rPr>
        <w:t>])</w:t>
      </w:r>
    </w:p>
    <w:p w14:paraId="0470F9F1" w14:textId="3852DB7D" w:rsidR="00A861C5" w:rsidRPr="00615EEB" w:rsidRDefault="009037DA" w:rsidP="00615EEB">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p>
    <w:p w14:paraId="7D31481F" w14:textId="4D747EC2" w:rsidR="00A861C5" w:rsidRPr="00A861C5" w:rsidRDefault="00A861C5" w:rsidP="00A861C5">
      <w:pPr>
        <w:jc w:val="both"/>
        <w:rPr>
          <w:sz w:val="24"/>
        </w:rPr>
      </w:pPr>
      <w:proofErr w:type="gramStart"/>
      <w:r w:rsidRPr="00A861C5">
        <w:rPr>
          <w:sz w:val="24"/>
        </w:rPr>
        <w:t>qui</w:t>
      </w:r>
      <w:proofErr w:type="gramEnd"/>
      <w:r w:rsidRPr="00A861C5">
        <w:rPr>
          <w:sz w:val="24"/>
        </w:rPr>
        <w:t xml:space="preserve"> font partie intégrante du présent contrat-cadre (ci-après dénommé </w:t>
      </w:r>
      <w:r w:rsidR="001769F7" w:rsidRPr="00A861C5">
        <w:rPr>
          <w:sz w:val="24"/>
        </w:rPr>
        <w:t xml:space="preserve">le </w:t>
      </w:r>
      <w:r w:rsidRPr="00A861C5">
        <w:rPr>
          <w:sz w:val="24"/>
        </w:rPr>
        <w:t>«</w:t>
      </w:r>
      <w:r w:rsidRPr="00FC30AF">
        <w:rPr>
          <w:sz w:val="24"/>
        </w:rPr>
        <w:t>CC</w:t>
      </w:r>
      <w:r w:rsidR="00615EEB">
        <w:rPr>
          <w:sz w:val="24"/>
        </w:rPr>
        <w:t>»</w:t>
      </w:r>
      <w:r w:rsidRPr="00A861C5">
        <w:rPr>
          <w:sz w:val="24"/>
        </w:rPr>
        <w:t>.</w:t>
      </w:r>
    </w:p>
    <w:p w14:paraId="1DA4C3AE" w14:textId="4FB549D6" w:rsidR="00EB21B2"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271B330B" w:rsidR="00A861C5" w:rsidRPr="007F20F6" w:rsidRDefault="00A861C5" w:rsidP="007F20F6">
      <w:pPr>
        <w:numPr>
          <w:ilvl w:val="0"/>
          <w:numId w:val="9"/>
        </w:numPr>
        <w:tabs>
          <w:tab w:val="clear" w:pos="720"/>
          <w:tab w:val="num" w:pos="426"/>
        </w:tabs>
        <w:ind w:left="425" w:hanging="425"/>
        <w:jc w:val="both"/>
        <w:outlineLvl w:val="0"/>
        <w:rPr>
          <w:sz w:val="24"/>
        </w:rPr>
      </w:pPr>
      <w:r w:rsidRPr="007F20F6">
        <w:rPr>
          <w:sz w:val="24"/>
        </w:rPr>
        <w:t xml:space="preserve">Les dispositions des conditions générales prévalent sur celles du modèle de bon de commande et du modèle de contrat spécifique. </w:t>
      </w:r>
      <w:r w:rsidR="00EB21B2" w:rsidRPr="007F20F6">
        <w:rPr>
          <w:sz w:val="24"/>
        </w:rPr>
        <w:t>En cas de contradiction entre les conditions générales et le CCAG-FCS, le CCAG-FCS sera prépondérant.</w:t>
      </w:r>
    </w:p>
    <w:p w14:paraId="2B3FADAD" w14:textId="78DE6AC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et des contrats spécifiques. </w:t>
      </w:r>
    </w:p>
    <w:p w14:paraId="4333250C" w14:textId="07B47FC3"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contrats spécifiques prévalent sur celles des demandes de services. </w:t>
      </w:r>
    </w:p>
    <w:p w14:paraId="1C210837" w14:textId="3296195B"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des demandes de services prévalent sur celles des offres spécifiques.</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51BCDDF1"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310EFD" w:rsidRPr="00310EFD">
        <w:rPr>
          <w:sz w:val="24"/>
        </w:rPr>
        <w:t>la mise en place d’un accord-cadre pour des prestations de services traiteur au profit d’Expertise France au Togo</w:t>
      </w:r>
      <w:r w:rsidRPr="00615EEB">
        <w:rPr>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0FB7DA7E" w14:textId="3518F3F7" w:rsidR="00A053E1" w:rsidRPr="00A053E1" w:rsidRDefault="00A053E1" w:rsidP="00A053E1">
      <w:pPr>
        <w:suppressAutoHyphens/>
        <w:ind w:left="709" w:hanging="709"/>
        <w:jc w:val="both"/>
        <w:rPr>
          <w:sz w:val="24"/>
        </w:rPr>
      </w:pPr>
      <w:r w:rsidRPr="00A053E1">
        <w:rPr>
          <w:b/>
          <w:noProof/>
          <w:sz w:val="24"/>
        </w:rPr>
        <w:t>I.1.3</w:t>
      </w:r>
      <w:r w:rsidRPr="00A053E1">
        <w:rPr>
          <w:sz w:val="24"/>
        </w:rPr>
        <w:tab/>
      </w:r>
      <w:r w:rsidRPr="00A053E1">
        <w:rPr>
          <w:b/>
          <w:sz w:val="24"/>
        </w:rPr>
        <w:t>Contrat-cadre multiple</w:t>
      </w:r>
      <w:r w:rsidRPr="00A053E1">
        <w:rPr>
          <w:rStyle w:val="Appelnotedebasdep"/>
          <w:b/>
          <w:sz w:val="24"/>
        </w:rPr>
        <w:footnoteReference w:id="5"/>
      </w:r>
    </w:p>
    <w:p w14:paraId="1D0F9F44" w14:textId="6D3EE0A9" w:rsidR="00093B58" w:rsidRPr="00093B58" w:rsidRDefault="007F20F6" w:rsidP="00093B58">
      <w:pPr>
        <w:pStyle w:val="Titre2"/>
      </w:pPr>
      <w:r w:rsidRPr="007F20F6">
        <w:rPr>
          <w:sz w:val="24"/>
        </w:rPr>
        <w:t xml:space="preserve">L’accord-cadre est conclu avec plusieurs titulaires. Les bons de commande sont attribués selon un mécanisme de rotation (tourniquet) entre les titulaires, dans l’ordre du classement, afin de garantir une répartition équilibrée des </w:t>
      </w:r>
      <w:proofErr w:type="spellStart"/>
      <w:r w:rsidRPr="007F20F6">
        <w:rPr>
          <w:sz w:val="24"/>
        </w:rPr>
        <w:t>commandes</w:t>
      </w:r>
      <w:r w:rsidR="00093B58" w:rsidRPr="00093B58">
        <w:t>Article</w:t>
      </w:r>
      <w:proofErr w:type="spellEnd"/>
      <w:r w:rsidR="00093B58" w:rsidRPr="00093B58">
        <w:t xml:space="preserve"> I.2 – Entrée en vigueur et durée </w:t>
      </w:r>
    </w:p>
    <w:p w14:paraId="7B5DA800" w14:textId="2AD712A9"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615EEB">
        <w:rPr>
          <w:sz w:val="24"/>
        </w:rPr>
        <w:t xml:space="preserve"> à sa date de </w:t>
      </w:r>
      <w:r w:rsidR="00310EFD">
        <w:rPr>
          <w:sz w:val="24"/>
        </w:rPr>
        <w:t>notification</w:t>
      </w:r>
      <w:r w:rsidR="00310EFD" w:rsidRPr="00093B58">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52252DD" w14:textId="1444CC93"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615EEB">
        <w:rPr>
          <w:sz w:val="24"/>
        </w:rPr>
        <w:t>vingt-quatre (24) mois</w:t>
      </w:r>
      <w:r w:rsidRPr="003B3B75">
        <w:rPr>
          <w:sz w:val="24"/>
        </w:rPr>
        <w:t xml:space="preserve"> </w:t>
      </w:r>
      <w:r w:rsidRPr="00BA396D">
        <w:rPr>
          <w:sz w:val="24"/>
        </w:rPr>
        <w:t>à compter</w:t>
      </w:r>
      <w:r w:rsidR="00615EEB">
        <w:rPr>
          <w:sz w:val="24"/>
        </w:rPr>
        <w:t xml:space="preserve"> de la</w:t>
      </w:r>
      <w:r w:rsidR="00B26E3F" w:rsidRPr="00BA396D">
        <w:rPr>
          <w:sz w:val="24"/>
        </w:rPr>
        <w:t xml:space="preserve"> </w:t>
      </w:r>
      <w:r w:rsidR="00B26E3F" w:rsidRPr="00BA396D">
        <w:rPr>
          <w:i/>
          <w:sz w:val="24"/>
        </w:rPr>
        <w:t>date</w:t>
      </w:r>
      <w:r w:rsidR="00615EEB">
        <w:rPr>
          <w:i/>
          <w:sz w:val="24"/>
        </w:rPr>
        <w:t xml:space="preserve"> </w:t>
      </w:r>
      <w:r w:rsidR="00615EEB">
        <w:rPr>
          <w:sz w:val="24"/>
        </w:rPr>
        <w:t>de sa date de notification</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0D1C19B" w14:textId="7ED0A339" w:rsidR="00093B58" w:rsidRPr="00093B58" w:rsidRDefault="00205D49" w:rsidP="00E33A17">
      <w:pPr>
        <w:suppressAutoHyphens/>
        <w:ind w:left="851" w:hanging="851"/>
        <w:jc w:val="both"/>
        <w:rPr>
          <w:sz w:val="24"/>
        </w:rPr>
      </w:pPr>
      <w:r>
        <w:rPr>
          <w:sz w:val="24"/>
        </w:rPr>
        <w:t xml:space="preserve">Les </w:t>
      </w:r>
      <w:r w:rsidR="00093B58" w:rsidRPr="00093B58">
        <w:rPr>
          <w:sz w:val="24"/>
        </w:rPr>
        <w:t>contrats spécifiques doivent être signés par les deux parties avant l'expiration du CC.</w:t>
      </w:r>
    </w:p>
    <w:p w14:paraId="09FCF835" w14:textId="15BBAE46" w:rsidR="00093B58" w:rsidRPr="00093B58" w:rsidRDefault="00093B58" w:rsidP="00E33A17">
      <w:pPr>
        <w:suppressAutoHyphens/>
        <w:jc w:val="both"/>
      </w:pPr>
      <w:r w:rsidRPr="00093B58">
        <w:rPr>
          <w:sz w:val="24"/>
        </w:rPr>
        <w:t xml:space="preserve">Après son expiration, le CC demeure en vigueur à l'égard de ces bons de commande et contrats spécifiques. Ils doivent </w:t>
      </w:r>
      <w:r w:rsidR="00615EEB">
        <w:rPr>
          <w:sz w:val="24"/>
        </w:rPr>
        <w:t>être exécutés au plus tard six</w:t>
      </w:r>
      <w:r w:rsidRPr="00093B58">
        <w:rPr>
          <w:sz w:val="24"/>
        </w:rPr>
        <w:t xml:space="preserve"> mois après son expiration. </w:t>
      </w:r>
    </w:p>
    <w:p w14:paraId="48CAB2C4" w14:textId="77777777"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6"/>
      </w:r>
    </w:p>
    <w:p w14:paraId="54AA1C61" w14:textId="677C96CD" w:rsidR="00093B58" w:rsidRPr="00AC78D7" w:rsidRDefault="00093B58" w:rsidP="00AC78D7">
      <w:pPr>
        <w:jc w:val="both"/>
        <w:rPr>
          <w:sz w:val="28"/>
        </w:rPr>
      </w:pPr>
      <w:r w:rsidRPr="00093B58">
        <w:rPr>
          <w:sz w:val="24"/>
        </w:rPr>
        <w:lastRenderedPageBreak/>
        <w:t xml:space="preserve">Le CC est reconduit tacitement </w:t>
      </w:r>
      <w:r w:rsidR="00615EEB">
        <w:rPr>
          <w:sz w:val="24"/>
        </w:rPr>
        <w:t>une</w:t>
      </w:r>
      <w:r w:rsidRPr="00093B58">
        <w:rPr>
          <w:sz w:val="24"/>
        </w:rPr>
        <w:t xml:space="preserve"> fois au maximum,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 xml:space="preserve">notifié au contractant </w:t>
      </w:r>
      <w:r w:rsidRPr="00093B58">
        <w:rPr>
          <w:sz w:val="24"/>
        </w:rPr>
        <w:t xml:space="preserve">trois mois avant l'expiration du délai mentionné à l'article I.2.3. Cette reconduction n'entraîne ni modification ni report des </w:t>
      </w:r>
      <w:r w:rsidRPr="00AC78D7">
        <w:rPr>
          <w:sz w:val="24"/>
        </w:rPr>
        <w:t>obligations en vigueur.</w:t>
      </w:r>
      <w:r w:rsidRPr="00AC78D7">
        <w:rPr>
          <w:sz w:val="28"/>
        </w:rPr>
        <w:t xml:space="preserve"> </w:t>
      </w:r>
    </w:p>
    <w:p w14:paraId="3D5C5A72" w14:textId="77777777" w:rsidR="00AC78D7" w:rsidRPr="00AC78D7" w:rsidRDefault="00AC78D7" w:rsidP="00AC78D7">
      <w:pPr>
        <w:pStyle w:val="Titre2"/>
      </w:pPr>
      <w:r w:rsidRPr="00AC78D7">
        <w:t>Article I.3 – Prix</w:t>
      </w:r>
    </w:p>
    <w:p w14:paraId="061CAC7B" w14:textId="7D285EC5" w:rsidR="002B10E3" w:rsidRDefault="00AC78D7" w:rsidP="00E33A17">
      <w:pPr>
        <w:suppressAutoHyphens/>
        <w:ind w:left="851" w:hanging="851"/>
        <w:jc w:val="both"/>
        <w:rPr>
          <w:sz w:val="24"/>
        </w:rPr>
      </w:pPr>
      <w:r w:rsidRPr="00AC78D7">
        <w:rPr>
          <w:b/>
          <w:noProof/>
          <w:sz w:val="24"/>
        </w:rPr>
        <w:t>I.3.1</w:t>
      </w:r>
      <w:r w:rsidRPr="00AC78D7">
        <w:rPr>
          <w:sz w:val="24"/>
        </w:rPr>
        <w:tab/>
        <w:t>Le montant maximal du CC est fixé à</w:t>
      </w:r>
      <w:r w:rsidR="00615EEB">
        <w:rPr>
          <w:sz w:val="24"/>
        </w:rPr>
        <w:t xml:space="preserve"> cent quatre-vingt-dix-neuf mille (</w:t>
      </w:r>
      <w:r w:rsidR="00310EFD">
        <w:rPr>
          <w:sz w:val="24"/>
        </w:rPr>
        <w:t>120</w:t>
      </w:r>
      <w:r w:rsidR="00615EEB">
        <w:rPr>
          <w:sz w:val="24"/>
        </w:rPr>
        <w:t xml:space="preserve"> 000)</w:t>
      </w:r>
      <w:r w:rsidRPr="00AC78D7">
        <w:rPr>
          <w:sz w:val="24"/>
        </w:rPr>
        <w:t xml:space="preserve"> euros</w:t>
      </w:r>
      <w:r w:rsidR="00A543A6">
        <w:rPr>
          <w:sz w:val="24"/>
        </w:rPr>
        <w:t xml:space="preserve"> 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1B068C47" w14:textId="0BC724AD" w:rsidR="00AC78D7" w:rsidRDefault="003A4A56" w:rsidP="00E33A17">
      <w:pPr>
        <w:pStyle w:val="u"/>
        <w:widowControl w:val="0"/>
        <w:numPr>
          <w:ilvl w:val="12"/>
          <w:numId w:val="0"/>
        </w:numPr>
        <w:spacing w:before="120"/>
        <w:ind w:left="851"/>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615EEB">
        <w:rPr>
          <w:rFonts w:asciiTheme="minorHAnsi" w:hAnsiTheme="minorHAnsi"/>
          <w:sz w:val="24"/>
        </w:rPr>
        <w:t>.</w:t>
      </w:r>
    </w:p>
    <w:p w14:paraId="2B3A0071" w14:textId="61B64E9B" w:rsidR="003C385D" w:rsidRDefault="00B561C0" w:rsidP="00E33A17">
      <w:pPr>
        <w:pStyle w:val="u"/>
        <w:widowControl w:val="0"/>
        <w:numPr>
          <w:ilvl w:val="12"/>
          <w:numId w:val="0"/>
        </w:numPr>
        <w:spacing w:before="120"/>
        <w:ind w:left="851"/>
        <w:rPr>
          <w:rFonts w:asciiTheme="minorHAnsi" w:hAnsiTheme="minorHAnsi"/>
          <w:sz w:val="24"/>
        </w:rPr>
      </w:pPr>
      <w:r>
        <w:rPr>
          <w:rFonts w:asciiTheme="minorHAnsi" w:hAnsiTheme="minorHAnsi"/>
          <w:sz w:val="24"/>
        </w:rPr>
        <w:t>Le dé</w:t>
      </w:r>
      <w:r w:rsidR="00615EEB">
        <w:rPr>
          <w:rFonts w:asciiTheme="minorHAnsi" w:hAnsiTheme="minorHAnsi"/>
          <w:sz w:val="24"/>
        </w:rPr>
        <w:t xml:space="preserve">tail des prix unitaires figure </w:t>
      </w:r>
      <w:r>
        <w:rPr>
          <w:rFonts w:asciiTheme="minorHAnsi" w:hAnsiTheme="minorHAnsi"/>
          <w:sz w:val="24"/>
        </w:rPr>
        <w:t>dans le bordere</w:t>
      </w:r>
      <w:r w:rsidR="00615EEB">
        <w:rPr>
          <w:rFonts w:asciiTheme="minorHAnsi" w:hAnsiTheme="minorHAnsi"/>
          <w:sz w:val="24"/>
        </w:rPr>
        <w:t xml:space="preserve">au de prix unitaires ci-dessous </w:t>
      </w:r>
    </w:p>
    <w:p w14:paraId="1B2509DE" w14:textId="72FDB549" w:rsidR="004904E2" w:rsidRPr="004904E2" w:rsidRDefault="004904E2" w:rsidP="004904E2">
      <w:pPr>
        <w:pStyle w:val="u"/>
        <w:widowControl w:val="0"/>
        <w:numPr>
          <w:ilvl w:val="12"/>
          <w:numId w:val="0"/>
        </w:numPr>
        <w:ind w:left="709"/>
        <w:rPr>
          <w:rFonts w:asciiTheme="minorHAnsi" w:hAnsiTheme="minorHAnsi"/>
          <w:sz w:val="24"/>
        </w:rPr>
      </w:pPr>
    </w:p>
    <w:tbl>
      <w:tblPr>
        <w:tblStyle w:val="Grilledutableau"/>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409"/>
      </w:tblGrid>
      <w:tr w:rsidR="00C916C0" w:rsidRPr="00C916C0" w14:paraId="0B0FF756" w14:textId="77777777" w:rsidTr="002753BD">
        <w:tc>
          <w:tcPr>
            <w:tcW w:w="4395" w:type="dxa"/>
            <w:vAlign w:val="center"/>
          </w:tcPr>
          <w:p w14:paraId="4D1525B0" w14:textId="77777777" w:rsidR="00C916C0" w:rsidRPr="004F541B" w:rsidRDefault="00C916C0" w:rsidP="00C916C0">
            <w:pPr>
              <w:pStyle w:val="u"/>
              <w:widowControl w:val="0"/>
              <w:numPr>
                <w:ilvl w:val="12"/>
                <w:numId w:val="0"/>
              </w:numPr>
              <w:spacing w:before="60" w:after="60"/>
              <w:ind w:left="709"/>
              <w:jc w:val="left"/>
              <w:rPr>
                <w:rFonts w:asciiTheme="minorHAnsi" w:hAnsiTheme="minorHAnsi" w:cs="Arial"/>
                <w:b/>
                <w:sz w:val="24"/>
              </w:rPr>
            </w:pPr>
            <w:r w:rsidRPr="004F541B">
              <w:rPr>
                <w:rFonts w:asciiTheme="minorHAnsi" w:hAnsiTheme="minorHAnsi" w:cs="Arial"/>
                <w:b/>
                <w:sz w:val="24"/>
              </w:rPr>
              <w:t>Unités</w:t>
            </w:r>
          </w:p>
        </w:tc>
        <w:tc>
          <w:tcPr>
            <w:tcW w:w="2409" w:type="dxa"/>
            <w:vAlign w:val="center"/>
          </w:tcPr>
          <w:p w14:paraId="3F53C095" w14:textId="77777777" w:rsidR="00C916C0" w:rsidRPr="004F541B" w:rsidRDefault="00C916C0" w:rsidP="004F541B">
            <w:pPr>
              <w:pStyle w:val="u"/>
              <w:widowControl w:val="0"/>
              <w:numPr>
                <w:ilvl w:val="12"/>
                <w:numId w:val="0"/>
              </w:numPr>
              <w:spacing w:before="60" w:after="60"/>
              <w:jc w:val="center"/>
              <w:rPr>
                <w:rFonts w:asciiTheme="minorHAnsi" w:hAnsiTheme="minorHAnsi" w:cs="Arial"/>
                <w:b/>
                <w:sz w:val="24"/>
              </w:rPr>
            </w:pPr>
            <w:r w:rsidRPr="004F541B">
              <w:rPr>
                <w:rFonts w:asciiTheme="minorHAnsi" w:hAnsiTheme="minorHAnsi" w:cs="Arial"/>
                <w:b/>
                <w:sz w:val="24"/>
              </w:rPr>
              <w:t>Prix unitaires € HT</w:t>
            </w:r>
          </w:p>
        </w:tc>
      </w:tr>
      <w:tr w:rsidR="00C916C0" w:rsidRPr="00361126" w14:paraId="5F11CAF0" w14:textId="77777777" w:rsidTr="002753BD">
        <w:tc>
          <w:tcPr>
            <w:tcW w:w="4395" w:type="dxa"/>
            <w:vAlign w:val="center"/>
          </w:tcPr>
          <w:p w14:paraId="7E906499" w14:textId="6529F7C1" w:rsidR="00C916C0" w:rsidRPr="004F541B" w:rsidRDefault="00C916C0" w:rsidP="004F541B">
            <w:pPr>
              <w:pStyle w:val="u"/>
              <w:widowControl w:val="0"/>
              <w:numPr>
                <w:ilvl w:val="12"/>
                <w:numId w:val="0"/>
              </w:numPr>
              <w:spacing w:before="60" w:after="60"/>
              <w:ind w:left="709"/>
              <w:jc w:val="left"/>
              <w:rPr>
                <w:rFonts w:asciiTheme="minorHAnsi" w:hAnsiTheme="minorHAnsi" w:cs="Arial"/>
                <w:sz w:val="24"/>
                <w:highlight w:val="yellow"/>
              </w:rPr>
            </w:pPr>
            <w:r w:rsidRPr="001830CE">
              <w:rPr>
                <w:rFonts w:asciiTheme="minorHAnsi" w:hAnsiTheme="minorHAnsi" w:cs="Arial"/>
                <w:sz w:val="24"/>
                <w:highlight w:val="yellow"/>
              </w:rPr>
              <w:t xml:space="preserve">Indiquer </w:t>
            </w:r>
            <w:r>
              <w:rPr>
                <w:rFonts w:asciiTheme="minorHAnsi" w:hAnsiTheme="minorHAnsi" w:cs="Arial"/>
                <w:sz w:val="24"/>
                <w:highlight w:val="yellow"/>
              </w:rPr>
              <w:t>les items</w:t>
            </w:r>
          </w:p>
        </w:tc>
        <w:tc>
          <w:tcPr>
            <w:tcW w:w="2409" w:type="dxa"/>
            <w:vAlign w:val="center"/>
          </w:tcPr>
          <w:p w14:paraId="047030EE" w14:textId="77777777" w:rsidR="00C916C0" w:rsidRPr="004F541B" w:rsidRDefault="00C916C0" w:rsidP="004F541B">
            <w:pPr>
              <w:pStyle w:val="u"/>
              <w:widowControl w:val="0"/>
              <w:numPr>
                <w:ilvl w:val="12"/>
                <w:numId w:val="0"/>
              </w:numPr>
              <w:spacing w:before="60" w:after="60"/>
              <w:jc w:val="center"/>
              <w:rPr>
                <w:rFonts w:asciiTheme="minorHAnsi" w:hAnsiTheme="minorHAnsi" w:cs="Arial"/>
                <w:sz w:val="24"/>
                <w:highlight w:val="yellow"/>
              </w:rPr>
            </w:pPr>
            <w:r w:rsidRPr="004F541B">
              <w:rPr>
                <w:rFonts w:asciiTheme="minorHAnsi" w:hAnsiTheme="minorHAnsi" w:cs="Arial"/>
                <w:sz w:val="24"/>
                <w:highlight w:val="lightGray"/>
              </w:rPr>
              <w:t xml:space="preserve">A renseigner par le </w:t>
            </w:r>
            <w:r w:rsidRPr="004F541B">
              <w:rPr>
                <w:rFonts w:asciiTheme="minorHAnsi" w:hAnsiTheme="minorHAnsi" w:cs="Arial"/>
                <w:smallCaps/>
                <w:sz w:val="24"/>
                <w:highlight w:val="lightGray"/>
              </w:rPr>
              <w:t>Contractant</w:t>
            </w:r>
          </w:p>
        </w:tc>
      </w:tr>
      <w:tr w:rsidR="00C916C0" w:rsidRPr="00361126" w14:paraId="134D392E" w14:textId="77777777" w:rsidTr="002753BD">
        <w:tc>
          <w:tcPr>
            <w:tcW w:w="4395" w:type="dxa"/>
            <w:vAlign w:val="center"/>
          </w:tcPr>
          <w:p w14:paraId="48A34708" w14:textId="7BCE59CF" w:rsidR="00C916C0" w:rsidRPr="004F541B" w:rsidRDefault="003A4A56" w:rsidP="00C916C0">
            <w:pPr>
              <w:pStyle w:val="u"/>
              <w:widowControl w:val="0"/>
              <w:numPr>
                <w:ilvl w:val="12"/>
                <w:numId w:val="0"/>
              </w:numPr>
              <w:spacing w:before="60" w:after="60"/>
              <w:ind w:left="709"/>
              <w:jc w:val="left"/>
              <w:rPr>
                <w:rFonts w:asciiTheme="minorHAnsi" w:hAnsiTheme="minorHAnsi" w:cs="Arial"/>
                <w:sz w:val="24"/>
                <w:highlight w:val="yellow"/>
              </w:rPr>
            </w:pPr>
            <w:r w:rsidRPr="001830CE">
              <w:rPr>
                <w:rFonts w:asciiTheme="minorHAnsi" w:hAnsiTheme="minorHAnsi" w:cs="Arial"/>
                <w:sz w:val="24"/>
                <w:highlight w:val="yellow"/>
              </w:rPr>
              <w:t xml:space="preserve">Indiquer </w:t>
            </w:r>
            <w:r>
              <w:rPr>
                <w:rFonts w:asciiTheme="minorHAnsi" w:hAnsiTheme="minorHAnsi" w:cs="Arial"/>
                <w:sz w:val="24"/>
                <w:highlight w:val="yellow"/>
              </w:rPr>
              <w:t>les items</w:t>
            </w:r>
          </w:p>
        </w:tc>
        <w:tc>
          <w:tcPr>
            <w:tcW w:w="2409" w:type="dxa"/>
            <w:vAlign w:val="center"/>
          </w:tcPr>
          <w:p w14:paraId="3AE8E2AF" w14:textId="77777777" w:rsidR="00C916C0" w:rsidRPr="004F541B" w:rsidRDefault="00C916C0" w:rsidP="004F541B">
            <w:pPr>
              <w:pStyle w:val="u"/>
              <w:widowControl w:val="0"/>
              <w:numPr>
                <w:ilvl w:val="12"/>
                <w:numId w:val="0"/>
              </w:numPr>
              <w:spacing w:before="60" w:after="60"/>
              <w:jc w:val="center"/>
              <w:rPr>
                <w:rFonts w:asciiTheme="minorHAnsi" w:hAnsiTheme="minorHAnsi" w:cs="Arial"/>
                <w:sz w:val="24"/>
                <w:highlight w:val="yellow"/>
              </w:rPr>
            </w:pPr>
            <w:r w:rsidRPr="004F541B">
              <w:rPr>
                <w:rFonts w:asciiTheme="minorHAnsi" w:hAnsiTheme="minorHAnsi" w:cs="Arial"/>
                <w:sz w:val="24"/>
                <w:highlight w:val="lightGray"/>
              </w:rPr>
              <w:t xml:space="preserve">A renseigner par le </w:t>
            </w:r>
            <w:r w:rsidRPr="004F541B">
              <w:rPr>
                <w:rFonts w:asciiTheme="minorHAnsi" w:hAnsiTheme="minorHAnsi" w:cs="Arial"/>
                <w:smallCaps/>
                <w:sz w:val="24"/>
                <w:highlight w:val="lightGray"/>
              </w:rPr>
              <w:t>Contractant</w:t>
            </w:r>
          </w:p>
        </w:tc>
      </w:tr>
    </w:tbl>
    <w:p w14:paraId="22D6268E" w14:textId="7D979088" w:rsidR="004904E2" w:rsidRDefault="004904E2" w:rsidP="004904E2">
      <w:pPr>
        <w:pStyle w:val="u"/>
        <w:widowControl w:val="0"/>
        <w:numPr>
          <w:ilvl w:val="12"/>
          <w:numId w:val="0"/>
        </w:numPr>
        <w:ind w:left="709"/>
        <w:rPr>
          <w:rFonts w:asciiTheme="minorHAnsi" w:hAnsiTheme="minorHAnsi"/>
          <w:sz w:val="24"/>
        </w:rPr>
      </w:pPr>
    </w:p>
    <w:p w14:paraId="495B7F5E" w14:textId="77777777" w:rsidR="00615EEB" w:rsidRPr="00615EEB" w:rsidRDefault="00615EEB" w:rsidP="00615EEB">
      <w:pPr>
        <w:pStyle w:val="u"/>
        <w:widowControl w:val="0"/>
        <w:numPr>
          <w:ilvl w:val="12"/>
          <w:numId w:val="0"/>
        </w:numPr>
        <w:ind w:left="709"/>
        <w:rPr>
          <w:rFonts w:asciiTheme="minorHAnsi" w:hAnsiTheme="minorHAnsi"/>
          <w:sz w:val="24"/>
        </w:rPr>
      </w:pPr>
      <w:r w:rsidRPr="00615EEB">
        <w:rPr>
          <w:rFonts w:asciiTheme="minorHAnsi" w:hAnsiTheme="minorHAnsi"/>
          <w:sz w:val="24"/>
        </w:rPr>
        <w:t xml:space="preserve">La rémunération du présent accord-cadre se fait sur la base de prix unitaires. L'accord-cadre multi-attributaires à prix unitaires est celui dans lequel des prix unitaires sont appliqués aux quantités réellement livrées ou exécutées au cours de son exécution. </w:t>
      </w:r>
    </w:p>
    <w:p w14:paraId="56320B7E" w14:textId="77777777" w:rsidR="00615EEB" w:rsidRPr="00615EEB" w:rsidRDefault="00615EEB" w:rsidP="00615EEB">
      <w:pPr>
        <w:pStyle w:val="u"/>
        <w:widowControl w:val="0"/>
        <w:numPr>
          <w:ilvl w:val="12"/>
          <w:numId w:val="0"/>
        </w:numPr>
        <w:ind w:left="709"/>
        <w:rPr>
          <w:rFonts w:asciiTheme="minorHAnsi" w:hAnsiTheme="minorHAnsi"/>
          <w:sz w:val="24"/>
        </w:rPr>
      </w:pPr>
      <w:r w:rsidRPr="00615EEB">
        <w:rPr>
          <w:rFonts w:asciiTheme="minorHAnsi" w:hAnsiTheme="minorHAnsi"/>
          <w:sz w:val="24"/>
        </w:rPr>
        <w:t xml:space="preserve">L'accord-cadre à bons de commande multi-attributaires est attribué sur la base des prix unitaires mentionnés dans l'offre. Au moment de la rédaction des conditions du présent accord-cadre, l’acheteur n'est pas en mesure de définir avec précision les quantités de services dont il aura besoin. </w:t>
      </w:r>
    </w:p>
    <w:p w14:paraId="3A909A62" w14:textId="4719F770" w:rsidR="00615EEB" w:rsidRPr="004904E2" w:rsidRDefault="00615EEB" w:rsidP="00615EEB">
      <w:pPr>
        <w:pStyle w:val="u"/>
        <w:widowControl w:val="0"/>
        <w:numPr>
          <w:ilvl w:val="12"/>
          <w:numId w:val="0"/>
        </w:numPr>
        <w:ind w:left="709"/>
        <w:rPr>
          <w:rFonts w:asciiTheme="minorHAnsi" w:hAnsiTheme="minorHAnsi"/>
          <w:sz w:val="24"/>
        </w:rPr>
      </w:pPr>
      <w:r w:rsidRPr="00615EEB">
        <w:rPr>
          <w:rFonts w:asciiTheme="minorHAnsi" w:hAnsiTheme="minorHAnsi"/>
          <w:sz w:val="24"/>
        </w:rPr>
        <w:t xml:space="preserve">Des devis seront notamment demandés pour des prestations exceptionnelles non prévues dans les bordereaux </w:t>
      </w:r>
      <w:r>
        <w:rPr>
          <w:rFonts w:asciiTheme="minorHAnsi" w:hAnsiTheme="minorHAnsi"/>
          <w:sz w:val="24"/>
        </w:rPr>
        <w:t>des prix</w:t>
      </w:r>
      <w:r w:rsidRPr="00615EEB">
        <w:rPr>
          <w:rFonts w:asciiTheme="minorHAnsi" w:hAnsiTheme="minorHAnsi"/>
          <w:sz w:val="24"/>
        </w:rPr>
        <w:t>. Les titulaires de l'accord cadre s'engagent à faire bénéficier Expertise France de toute offre promotionnelle qu'ils seraient susceptibles de pratiquer pendant toute la durée de l'accord cadre</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35F6044F" w14:textId="371A838C" w:rsidR="00BA0D52" w:rsidRDefault="0039009F" w:rsidP="00AC78D7">
      <w:pPr>
        <w:jc w:val="both"/>
        <w:rPr>
          <w:sz w:val="24"/>
        </w:rPr>
      </w:pPr>
      <w:r>
        <w:rPr>
          <w:sz w:val="24"/>
        </w:rPr>
        <w:t xml:space="preserve">Les prix sont fermes </w:t>
      </w:r>
      <w:r w:rsidR="00BA0D52">
        <w:rPr>
          <w:sz w:val="24"/>
        </w:rPr>
        <w:t>la première année d’exécution du marché.</w:t>
      </w:r>
    </w:p>
    <w:p w14:paraId="2BB69DA1" w14:textId="57744ABC" w:rsidR="00BA0D52" w:rsidRDefault="00BA0D52" w:rsidP="00AC78D7">
      <w:pPr>
        <w:jc w:val="both"/>
        <w:rPr>
          <w:sz w:val="24"/>
        </w:rPr>
      </w:pPr>
      <w:r>
        <w:rPr>
          <w:sz w:val="24"/>
        </w:rPr>
        <w:t>Ils sont révisables à date anniversaire du marché dans les conditions définies ci-dessous.</w:t>
      </w:r>
    </w:p>
    <w:p w14:paraId="2363E045" w14:textId="77777777" w:rsidR="00BA0D52" w:rsidRDefault="00BA0D52" w:rsidP="00AC78D7">
      <w:pPr>
        <w:jc w:val="both"/>
        <w:rPr>
          <w:sz w:val="24"/>
        </w:rPr>
      </w:pPr>
    </w:p>
    <w:p w14:paraId="2D3BD6B1" w14:textId="794B0FE5" w:rsidR="00AC78D7" w:rsidRPr="005565DA" w:rsidRDefault="00AC78D7" w:rsidP="005565DA">
      <w:pPr>
        <w:pStyle w:val="Titre3"/>
        <w:numPr>
          <w:ilvl w:val="0"/>
          <w:numId w:val="0"/>
        </w:numPr>
        <w:rPr>
          <w:b/>
          <w:i w:val="0"/>
          <w:noProof/>
          <w:lang w:eastAsia="ko-KR"/>
        </w:rPr>
      </w:pPr>
      <w:r w:rsidRPr="005565DA">
        <w:rPr>
          <w:b/>
          <w:i w:val="0"/>
          <w:noProof/>
          <w:lang w:eastAsia="ko-KR"/>
        </w:rPr>
        <w:lastRenderedPageBreak/>
        <w:t>I.3.3.</w:t>
      </w:r>
      <w:r w:rsidRPr="005565DA">
        <w:rPr>
          <w:b/>
          <w:i w:val="0"/>
          <w:noProof/>
          <w:lang w:eastAsia="ko-KR"/>
        </w:rPr>
        <w:tab/>
        <w:t>Remboursement de frais</w:t>
      </w:r>
      <w:r w:rsidRPr="005565DA">
        <w:rPr>
          <w:i w:val="0"/>
          <w:noProof/>
          <w:vertAlign w:val="superscript"/>
          <w:lang w:eastAsia="ko-KR"/>
        </w:rPr>
        <w:footnoteReference w:id="7"/>
      </w:r>
    </w:p>
    <w:p w14:paraId="6BA80FD3" w14:textId="59038079" w:rsidR="00AC78D7" w:rsidRPr="00AC78D7" w:rsidRDefault="00BA0D52" w:rsidP="00AC78D7">
      <w:pPr>
        <w:jc w:val="both"/>
      </w:pPr>
      <w:proofErr w:type="gramStart"/>
      <w:r>
        <w:rPr>
          <w:sz w:val="24"/>
        </w:rPr>
        <w:t>Aucun frais complémentaires</w:t>
      </w:r>
      <w:proofErr w:type="gramEnd"/>
      <w:r>
        <w:rPr>
          <w:sz w:val="24"/>
        </w:rPr>
        <w:t xml:space="preserve"> ne sera pris en charge.</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8"/>
      </w:r>
    </w:p>
    <w:p w14:paraId="67AA992B" w14:textId="76648C81"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 xml:space="preserve">Contrat-cadre multiple en </w:t>
      </w:r>
      <w:r w:rsidR="007F20F6">
        <w:rPr>
          <w:b/>
          <w:i w:val="0"/>
          <w:noProof/>
          <w:lang w:eastAsia="ko-KR"/>
        </w:rPr>
        <w:t>tourniquet</w:t>
      </w:r>
    </w:p>
    <w:p w14:paraId="1B46E51B" w14:textId="77777777" w:rsidR="007F20F6" w:rsidRPr="007F20F6" w:rsidRDefault="007F20F6" w:rsidP="007F20F6">
      <w:pPr>
        <w:suppressAutoHyphens/>
        <w:jc w:val="both"/>
        <w:rPr>
          <w:b/>
          <w:bCs/>
          <w:noProof/>
          <w:sz w:val="24"/>
          <w:lang w:eastAsia="ko-KR"/>
        </w:rPr>
      </w:pPr>
      <w:r w:rsidRPr="007F20F6">
        <w:rPr>
          <w:b/>
          <w:bCs/>
          <w:noProof/>
          <w:sz w:val="24"/>
          <w:lang w:eastAsia="ko-KR"/>
        </w:rPr>
        <w:t>1. Accord-cadre à bons de commande multiples avec mécanisme de rotation (tourniquet)</w:t>
      </w:r>
    </w:p>
    <w:p w14:paraId="09CFEB0B" w14:textId="77777777" w:rsidR="007F20F6" w:rsidRPr="002B13F4" w:rsidRDefault="007F20F6" w:rsidP="007F20F6">
      <w:pPr>
        <w:suppressAutoHyphens/>
        <w:jc w:val="both"/>
        <w:rPr>
          <w:noProof/>
          <w:sz w:val="24"/>
          <w:lang w:eastAsia="ko-KR"/>
        </w:rPr>
      </w:pPr>
      <w:r w:rsidRPr="002B13F4">
        <w:rPr>
          <w:noProof/>
          <w:sz w:val="24"/>
          <w:lang w:eastAsia="ko-KR"/>
        </w:rPr>
        <w:t>Lorsqu’Expertise France adresse un bon de commande ou une demande de services à un titulaire du contrat-cadre, celui-ci dispose d’un délai de deux (2) jours ouvrables à compter de la date d’envoi par Expertise France pour transmettre, selon le cas, le bon de commande complété ou une offre spécifique, dûment daté(e) et signé(e).</w:t>
      </w:r>
    </w:p>
    <w:p w14:paraId="0878BB3F" w14:textId="77777777" w:rsidR="007F20F6" w:rsidRPr="002B13F4" w:rsidRDefault="007F20F6" w:rsidP="007F20F6">
      <w:pPr>
        <w:suppressAutoHyphens/>
        <w:jc w:val="both"/>
        <w:rPr>
          <w:noProof/>
          <w:sz w:val="24"/>
          <w:lang w:eastAsia="ko-KR"/>
        </w:rPr>
      </w:pPr>
      <w:r w:rsidRPr="002B13F4">
        <w:rPr>
          <w:noProof/>
          <w:sz w:val="24"/>
          <w:lang w:eastAsia="ko-KR"/>
        </w:rPr>
        <w:t>À défaut de réponse dans ce délai, le titulaire est réputé indisponible.</w:t>
      </w:r>
    </w:p>
    <w:p w14:paraId="1AB426D9" w14:textId="77777777" w:rsidR="007F20F6" w:rsidRPr="002B13F4" w:rsidRDefault="007F20F6" w:rsidP="007F20F6">
      <w:pPr>
        <w:suppressAutoHyphens/>
        <w:jc w:val="both"/>
        <w:rPr>
          <w:noProof/>
          <w:sz w:val="24"/>
          <w:lang w:eastAsia="ko-KR"/>
        </w:rPr>
      </w:pPr>
      <w:r w:rsidRPr="002B13F4">
        <w:rPr>
          <w:noProof/>
          <w:sz w:val="24"/>
          <w:lang w:eastAsia="ko-KR"/>
        </w:rPr>
        <w:t>En cas d’indisponibilité, le titulaire communique à Expertise France les motifs de son refus dans le même délai de deux (2) jours ouvrables. À défaut, il est également réputé indisponible.</w:t>
      </w:r>
    </w:p>
    <w:p w14:paraId="0C4306D6" w14:textId="77777777" w:rsidR="007F20F6" w:rsidRPr="002B13F4" w:rsidRDefault="007F20F6" w:rsidP="007F20F6">
      <w:pPr>
        <w:suppressAutoHyphens/>
        <w:jc w:val="both"/>
        <w:rPr>
          <w:noProof/>
          <w:sz w:val="24"/>
          <w:lang w:eastAsia="ko-KR"/>
        </w:rPr>
      </w:pPr>
      <w:r w:rsidRPr="002B13F4">
        <w:rPr>
          <w:noProof/>
          <w:sz w:val="24"/>
          <w:lang w:eastAsia="ko-KR"/>
        </w:rPr>
        <w:t xml:space="preserve">Les bons de commande ou demandes de services sont attribués selon un </w:t>
      </w:r>
      <w:r w:rsidRPr="002B13F4">
        <w:rPr>
          <w:bCs/>
          <w:noProof/>
          <w:sz w:val="24"/>
          <w:lang w:eastAsia="ko-KR"/>
        </w:rPr>
        <w:t>mécanisme de rotation (tourniquet)</w:t>
      </w:r>
      <w:r w:rsidRPr="002B13F4">
        <w:rPr>
          <w:noProof/>
          <w:sz w:val="24"/>
          <w:lang w:eastAsia="ko-KR"/>
        </w:rPr>
        <w:t xml:space="preserve"> entre les titulaires, </w:t>
      </w:r>
      <w:r w:rsidRPr="002B13F4">
        <w:rPr>
          <w:bCs/>
          <w:noProof/>
          <w:sz w:val="24"/>
          <w:lang w:eastAsia="ko-KR"/>
        </w:rPr>
        <w:t>dans l’ordre du classement du contrat-cadre</w:t>
      </w:r>
      <w:r w:rsidRPr="002B13F4">
        <w:rPr>
          <w:noProof/>
          <w:sz w:val="24"/>
          <w:lang w:eastAsia="ko-KR"/>
        </w:rPr>
        <w:t>.</w:t>
      </w:r>
      <w:r w:rsidRPr="002B13F4">
        <w:rPr>
          <w:noProof/>
          <w:sz w:val="24"/>
          <w:lang w:eastAsia="ko-KR"/>
        </w:rPr>
        <w:br/>
        <w:t>En cas d’indisponibilité d’un titulaire, le bon de commande ou la demande de services est attribué au titulaire suivant dans l’ordre de rotation.</w:t>
      </w:r>
    </w:p>
    <w:p w14:paraId="0269F578" w14:textId="77777777" w:rsidR="007F20F6" w:rsidRPr="002B13F4" w:rsidRDefault="007F20F6" w:rsidP="007F20F6">
      <w:pPr>
        <w:suppressAutoHyphens/>
        <w:jc w:val="both"/>
        <w:rPr>
          <w:noProof/>
          <w:sz w:val="24"/>
          <w:lang w:eastAsia="ko-KR"/>
        </w:rPr>
      </w:pPr>
      <w:r w:rsidRPr="002B13F4">
        <w:rPr>
          <w:noProof/>
          <w:sz w:val="24"/>
          <w:lang w:eastAsia="ko-KR"/>
        </w:rPr>
        <w:t>Le délai d’exécution des prestations commence à courir à la date de notification du bon de commande au titulaire par Expertise France, sauf mention contraire figurant audit bon de commande.</w:t>
      </w:r>
    </w:p>
    <w:p w14:paraId="77DDD614" w14:textId="44D303E4" w:rsidR="00487D5D" w:rsidRPr="00487D5D" w:rsidRDefault="00487D5D" w:rsidP="00487D5D">
      <w:pPr>
        <w:jc w:val="both"/>
        <w:rPr>
          <w:color w:val="000000"/>
          <w:sz w:val="24"/>
        </w:rPr>
      </w:pPr>
      <w:r w:rsidRPr="00487D5D">
        <w:rPr>
          <w:b/>
          <w:sz w:val="24"/>
        </w:rPr>
        <w:t>I.4.2 Préfinancement</w:t>
      </w:r>
      <w:r w:rsidR="007F20F6">
        <w:rPr>
          <w:b/>
          <w:sz w:val="24"/>
        </w:rPr>
        <w:t>(avances)</w:t>
      </w:r>
      <w:r w:rsidRPr="00487D5D">
        <w:rPr>
          <w:rStyle w:val="Appelnotedebasdep"/>
          <w:sz w:val="24"/>
        </w:rPr>
        <w:footnoteReference w:id="9"/>
      </w:r>
    </w:p>
    <w:p w14:paraId="4FE520B9" w14:textId="6E49282D" w:rsidR="007F20F6" w:rsidRPr="002B13F4" w:rsidRDefault="007F20F6" w:rsidP="007F20F6">
      <w:pPr>
        <w:jc w:val="both"/>
        <w:rPr>
          <w:rFonts w:cstheme="minorHAnsi"/>
          <w:sz w:val="24"/>
        </w:rPr>
      </w:pPr>
      <w:r w:rsidRPr="007F20F6">
        <w:rPr>
          <w:rFonts w:ascii="Times New Roman" w:hAnsi="Times New Roman"/>
        </w:rPr>
        <w:t xml:space="preserve"> </w:t>
      </w:r>
      <w:r w:rsidRPr="002B13F4">
        <w:rPr>
          <w:rFonts w:cstheme="minorHAnsi"/>
          <w:sz w:val="24"/>
        </w:rPr>
        <w:t xml:space="preserve">Conformément aux dispositions du Code de la commande publique, une </w:t>
      </w:r>
      <w:r w:rsidRPr="002B13F4">
        <w:rPr>
          <w:rFonts w:cstheme="minorHAnsi"/>
          <w:b/>
          <w:bCs/>
          <w:sz w:val="24"/>
        </w:rPr>
        <w:t>avance</w:t>
      </w:r>
      <w:r w:rsidRPr="002B13F4">
        <w:rPr>
          <w:rFonts w:cstheme="minorHAnsi"/>
          <w:sz w:val="24"/>
        </w:rPr>
        <w:t xml:space="preserve"> est accordée au titulaire lorsque le montant du bon de commande est supérieur à </w:t>
      </w:r>
      <w:r w:rsidRPr="002B13F4">
        <w:rPr>
          <w:rFonts w:cstheme="minorHAnsi"/>
          <w:b/>
          <w:bCs/>
          <w:sz w:val="24"/>
        </w:rPr>
        <w:t>50 000 euros HT</w:t>
      </w:r>
      <w:r w:rsidRPr="002B13F4">
        <w:rPr>
          <w:rFonts w:cstheme="minorHAnsi"/>
          <w:sz w:val="24"/>
        </w:rPr>
        <w:t xml:space="preserve"> et que le délai d’exécution est supérieur à </w:t>
      </w:r>
      <w:r w:rsidRPr="002B13F4">
        <w:rPr>
          <w:rFonts w:cstheme="minorHAnsi"/>
          <w:b/>
          <w:bCs/>
          <w:sz w:val="24"/>
        </w:rPr>
        <w:t>deux (2) mois</w:t>
      </w:r>
      <w:r w:rsidRPr="002B13F4">
        <w:rPr>
          <w:rFonts w:cstheme="minorHAnsi"/>
          <w:sz w:val="24"/>
        </w:rPr>
        <w:t>, sauf renonciation expresse du titulaire.</w:t>
      </w:r>
    </w:p>
    <w:p w14:paraId="24254674" w14:textId="77777777" w:rsidR="007F20F6" w:rsidRPr="007F20F6" w:rsidRDefault="007F20F6" w:rsidP="007F20F6">
      <w:pPr>
        <w:jc w:val="both"/>
        <w:rPr>
          <w:sz w:val="24"/>
        </w:rPr>
      </w:pPr>
      <w:r w:rsidRPr="007F20F6">
        <w:rPr>
          <w:sz w:val="24"/>
        </w:rPr>
        <w:lastRenderedPageBreak/>
        <w:t xml:space="preserve">Le montant de l’avance est fixé à </w:t>
      </w:r>
      <w:r w:rsidRPr="007F20F6">
        <w:rPr>
          <w:b/>
          <w:bCs/>
          <w:sz w:val="24"/>
        </w:rPr>
        <w:t>5 %</w:t>
      </w:r>
      <w:r w:rsidRPr="007F20F6">
        <w:rPr>
          <w:sz w:val="24"/>
        </w:rPr>
        <w:t xml:space="preserve"> du montant TTC du bon de commande, sans pouvoir excéder le plafond réglementaire en vigueur.</w:t>
      </w:r>
    </w:p>
    <w:p w14:paraId="450CA389" w14:textId="77777777" w:rsidR="007F20F6" w:rsidRPr="007F20F6" w:rsidRDefault="007F20F6" w:rsidP="007F20F6">
      <w:pPr>
        <w:jc w:val="both"/>
        <w:rPr>
          <w:sz w:val="24"/>
        </w:rPr>
      </w:pPr>
      <w:r w:rsidRPr="007F20F6">
        <w:rPr>
          <w:sz w:val="24"/>
        </w:rPr>
        <w:t xml:space="preserve">L’avance est versée dans un délai de </w:t>
      </w:r>
      <w:r w:rsidRPr="007F20F6">
        <w:rPr>
          <w:b/>
          <w:bCs/>
          <w:sz w:val="24"/>
        </w:rPr>
        <w:t>trente (30) jours</w:t>
      </w:r>
      <w:r w:rsidRPr="007F20F6">
        <w:rPr>
          <w:sz w:val="24"/>
        </w:rPr>
        <w:t xml:space="preserve"> à compter de la notification du bon de commande concerné.</w:t>
      </w:r>
    </w:p>
    <w:p w14:paraId="10EA9EFB" w14:textId="77777777" w:rsidR="007F20F6" w:rsidRPr="007F20F6" w:rsidRDefault="007F20F6" w:rsidP="007F20F6">
      <w:pPr>
        <w:jc w:val="both"/>
        <w:rPr>
          <w:sz w:val="24"/>
        </w:rPr>
      </w:pPr>
      <w:r w:rsidRPr="007F20F6">
        <w:rPr>
          <w:sz w:val="24"/>
        </w:rPr>
        <w:t xml:space="preserve">Lorsque le montant de l’avance est supérieur à </w:t>
      </w:r>
      <w:r w:rsidRPr="007F20F6">
        <w:rPr>
          <w:b/>
          <w:bCs/>
          <w:sz w:val="24"/>
        </w:rPr>
        <w:t>30 %</w:t>
      </w:r>
      <w:r w:rsidRPr="007F20F6">
        <w:rPr>
          <w:sz w:val="24"/>
        </w:rPr>
        <w:t xml:space="preserve"> du montant du bon de commande, son versement est subordonné à la constitution d’une </w:t>
      </w:r>
      <w:r w:rsidRPr="007F20F6">
        <w:rPr>
          <w:b/>
          <w:bCs/>
          <w:sz w:val="24"/>
        </w:rPr>
        <w:t>garantie à première demande</w:t>
      </w:r>
      <w:r w:rsidRPr="007F20F6">
        <w:rPr>
          <w:sz w:val="24"/>
        </w:rPr>
        <w:t xml:space="preserve"> ou, le cas échéant, d’une </w:t>
      </w:r>
      <w:r w:rsidRPr="007F20F6">
        <w:rPr>
          <w:b/>
          <w:bCs/>
          <w:sz w:val="24"/>
        </w:rPr>
        <w:t>caution personnelle et solidaire</w:t>
      </w:r>
      <w:r w:rsidRPr="007F20F6">
        <w:rPr>
          <w:sz w:val="24"/>
        </w:rPr>
        <w:t>, dans les conditions prévues par la réglementation applicable.</w:t>
      </w:r>
    </w:p>
    <w:p w14:paraId="13E1BF5B" w14:textId="77777777" w:rsidR="007F20F6" w:rsidRPr="007F20F6" w:rsidRDefault="007F20F6" w:rsidP="007F20F6">
      <w:pPr>
        <w:jc w:val="both"/>
        <w:rPr>
          <w:sz w:val="24"/>
        </w:rPr>
      </w:pPr>
      <w:r w:rsidRPr="007F20F6">
        <w:rPr>
          <w:sz w:val="24"/>
        </w:rPr>
        <w:t xml:space="preserve">Le remboursement de l’avance s’effectue par précompte sur les sommes dues au titulaire, selon des modalités précisées dans le bon de commande, et débute lorsque le montant des prestations exécutées atteint </w:t>
      </w:r>
      <w:r w:rsidRPr="007F20F6">
        <w:rPr>
          <w:b/>
          <w:bCs/>
          <w:sz w:val="24"/>
        </w:rPr>
        <w:t>65 %</w:t>
      </w:r>
      <w:r w:rsidRPr="007F20F6">
        <w:rPr>
          <w:sz w:val="24"/>
        </w:rPr>
        <w:t xml:space="preserve"> du montant du bon de commande.</w:t>
      </w:r>
    </w:p>
    <w:p w14:paraId="146AB740" w14:textId="3646DE75" w:rsidR="00487D5D" w:rsidRPr="002B13F4" w:rsidRDefault="007F20F6" w:rsidP="00487D5D">
      <w:pPr>
        <w:jc w:val="both"/>
        <w:rPr>
          <w:b/>
          <w:sz w:val="24"/>
        </w:rPr>
      </w:pPr>
      <w:r w:rsidRPr="002B13F4">
        <w:rPr>
          <w:b/>
          <w:sz w:val="24"/>
        </w:rPr>
        <w:t>Acomptes</w:t>
      </w:r>
    </w:p>
    <w:p w14:paraId="47E48BE4" w14:textId="77777777" w:rsidR="007F20F6" w:rsidRPr="002B13F4" w:rsidRDefault="007F20F6" w:rsidP="007F20F6">
      <w:pPr>
        <w:jc w:val="both"/>
        <w:rPr>
          <w:sz w:val="24"/>
        </w:rPr>
      </w:pPr>
      <w:r w:rsidRPr="002B13F4">
        <w:rPr>
          <w:sz w:val="24"/>
        </w:rPr>
        <w:t>Les prestations exécutées dans le cadre de chaque bon de commande donnent lieu au versement d’</w:t>
      </w:r>
      <w:r w:rsidRPr="002B13F4">
        <w:rPr>
          <w:b/>
          <w:bCs/>
          <w:sz w:val="24"/>
        </w:rPr>
        <w:t>acomptes</w:t>
      </w:r>
      <w:r w:rsidRPr="002B13F4">
        <w:rPr>
          <w:sz w:val="24"/>
        </w:rPr>
        <w:t>, correspondant à la part des prestations effectivement réalisées.</w:t>
      </w:r>
    </w:p>
    <w:p w14:paraId="25D7901B" w14:textId="77777777" w:rsidR="007F20F6" w:rsidRPr="002B13F4" w:rsidRDefault="007F20F6" w:rsidP="007F20F6">
      <w:pPr>
        <w:jc w:val="both"/>
        <w:rPr>
          <w:sz w:val="24"/>
        </w:rPr>
      </w:pPr>
      <w:r w:rsidRPr="002B13F4">
        <w:rPr>
          <w:sz w:val="24"/>
        </w:rPr>
        <w:t xml:space="preserve">Les acomptes sont versés sur présentation par le titulaire d’une </w:t>
      </w:r>
      <w:r w:rsidRPr="002B13F4">
        <w:rPr>
          <w:b/>
          <w:bCs/>
          <w:sz w:val="24"/>
        </w:rPr>
        <w:t>demande de paiement</w:t>
      </w:r>
      <w:r w:rsidRPr="002B13F4">
        <w:rPr>
          <w:sz w:val="24"/>
        </w:rPr>
        <w:t xml:space="preserve"> ou d’une </w:t>
      </w:r>
      <w:r w:rsidRPr="002B13F4">
        <w:rPr>
          <w:b/>
          <w:bCs/>
          <w:sz w:val="24"/>
        </w:rPr>
        <w:t>facture partielle</w:t>
      </w:r>
      <w:r w:rsidRPr="002B13F4">
        <w:rPr>
          <w:sz w:val="24"/>
        </w:rPr>
        <w:t>, accompagnée de tout justificatif permettant d’attester de l’état d’avancement des prestations.</w:t>
      </w:r>
    </w:p>
    <w:p w14:paraId="59C03353" w14:textId="77777777" w:rsidR="007F20F6" w:rsidRPr="002B13F4" w:rsidRDefault="007F20F6" w:rsidP="007F20F6">
      <w:pPr>
        <w:jc w:val="both"/>
        <w:rPr>
          <w:sz w:val="24"/>
        </w:rPr>
      </w:pPr>
      <w:r w:rsidRPr="002B13F4">
        <w:rPr>
          <w:sz w:val="24"/>
        </w:rPr>
        <w:t xml:space="preserve">Le montant de chaque acompte est déterminé en fonction du </w:t>
      </w:r>
      <w:r w:rsidRPr="002B13F4">
        <w:rPr>
          <w:b/>
          <w:bCs/>
          <w:sz w:val="24"/>
        </w:rPr>
        <w:t>pourcentage d’exécution</w:t>
      </w:r>
      <w:r w:rsidRPr="002B13F4">
        <w:rPr>
          <w:sz w:val="24"/>
        </w:rPr>
        <w:t xml:space="preserve"> des prestations concernées, tel que validé par Expertise France, sans pouvoir excéder le montant total du bon de commande.</w:t>
      </w:r>
    </w:p>
    <w:p w14:paraId="3D7DD6FC" w14:textId="77777777" w:rsidR="007F20F6" w:rsidRPr="002B13F4" w:rsidRDefault="007F20F6" w:rsidP="007F20F6">
      <w:pPr>
        <w:jc w:val="both"/>
        <w:rPr>
          <w:sz w:val="24"/>
        </w:rPr>
      </w:pPr>
      <w:r w:rsidRPr="002B13F4">
        <w:rPr>
          <w:sz w:val="24"/>
        </w:rPr>
        <w:t>Le versement des acomptes intervient dans le délai réglementaire de paiement applicable à compter de la date de réception de la demande de paiement conforme.</w:t>
      </w:r>
    </w:p>
    <w:p w14:paraId="1FAD679A" w14:textId="77777777" w:rsidR="007F20F6" w:rsidRPr="002B13F4" w:rsidRDefault="007F20F6" w:rsidP="007F20F6">
      <w:pPr>
        <w:jc w:val="both"/>
        <w:rPr>
          <w:sz w:val="24"/>
        </w:rPr>
      </w:pPr>
      <w:r w:rsidRPr="002B13F4">
        <w:rPr>
          <w:sz w:val="24"/>
        </w:rPr>
        <w:t xml:space="preserve">Les acomptes ont le caractère de </w:t>
      </w:r>
      <w:r w:rsidRPr="002B13F4">
        <w:rPr>
          <w:b/>
          <w:bCs/>
          <w:sz w:val="24"/>
        </w:rPr>
        <w:t>paiements définitifs</w:t>
      </w:r>
      <w:r w:rsidRPr="002B13F4">
        <w:rPr>
          <w:sz w:val="24"/>
        </w:rPr>
        <w:t xml:space="preserve"> au fur et à mesure de l’exécution des prestations. Le solde est versé après achèvement complet des prestations prévues au bon de commande concerné, sous réserve de leur admission conforme.</w:t>
      </w:r>
    </w:p>
    <w:p w14:paraId="747089E9" w14:textId="73ACEA54" w:rsidR="007F20F6" w:rsidRPr="00487D5D" w:rsidRDefault="007F20F6" w:rsidP="00487D5D">
      <w:pPr>
        <w:jc w:val="both"/>
      </w:pPr>
    </w:p>
    <w:p w14:paraId="55A86B6A" w14:textId="3662C401" w:rsidR="00487D5D" w:rsidRPr="00487D5D" w:rsidRDefault="00487D5D" w:rsidP="00487D5D">
      <w:pPr>
        <w:ind w:left="709" w:hanging="709"/>
        <w:jc w:val="both"/>
        <w:rPr>
          <w:b/>
          <w:color w:val="000000"/>
          <w:sz w:val="24"/>
        </w:rPr>
      </w:pPr>
      <w:r w:rsidRPr="00487D5D">
        <w:rPr>
          <w:b/>
          <w:noProof/>
          <w:color w:val="000000"/>
          <w:sz w:val="24"/>
        </w:rPr>
        <w:t>I.4.</w:t>
      </w:r>
      <w:r w:rsidR="00C577EA">
        <w:rPr>
          <w:b/>
          <w:color w:val="000000"/>
          <w:sz w:val="24"/>
        </w:rPr>
        <w:t>3</w:t>
      </w:r>
      <w:r w:rsidRPr="00487D5D">
        <w:rPr>
          <w:b/>
          <w:sz w:val="24"/>
        </w:rPr>
        <w:t xml:space="preserve"> Paiement du solde</w:t>
      </w:r>
    </w:p>
    <w:p w14:paraId="392DA098" w14:textId="7F019289" w:rsidR="00487D5D" w:rsidRPr="00487D5D" w:rsidRDefault="00487D5D" w:rsidP="00487D5D">
      <w:pPr>
        <w:jc w:val="both"/>
        <w:rPr>
          <w:sz w:val="24"/>
        </w:rPr>
      </w:pPr>
      <w:r w:rsidRPr="00487D5D">
        <w:rPr>
          <w:sz w:val="24"/>
        </w:rPr>
        <w:t>Le contractant présente une facture pou</w:t>
      </w:r>
      <w:r w:rsidR="00C577EA">
        <w:rPr>
          <w:sz w:val="24"/>
        </w:rPr>
        <w:t>r demander le paiement du solde lié à l’exécution de chaque bon de commande.</w:t>
      </w:r>
      <w:r w:rsidRPr="00487D5D">
        <w:rPr>
          <w:sz w:val="24"/>
        </w:rPr>
        <w:t xml:space="preserve"> </w:t>
      </w:r>
    </w:p>
    <w:p w14:paraId="31FC2F1A" w14:textId="331157C7" w:rsidR="00487D5D" w:rsidRPr="00487D5D" w:rsidRDefault="00CB2123" w:rsidP="00487D5D">
      <w:pPr>
        <w:spacing w:after="120"/>
        <w:jc w:val="both"/>
        <w:rPr>
          <w:sz w:val="24"/>
        </w:rPr>
      </w:pPr>
      <w:r>
        <w:rPr>
          <w:sz w:val="24"/>
        </w:rPr>
        <w:t>Expertise France</w:t>
      </w:r>
      <w:r w:rsidR="00487D5D" w:rsidRPr="00487D5D">
        <w:rPr>
          <w:sz w:val="24"/>
        </w:rPr>
        <w:t xml:space="preserve"> effectue le paiement dans les trente jours suiv</w:t>
      </w:r>
      <w:r w:rsidR="00C577EA">
        <w:rPr>
          <w:sz w:val="24"/>
        </w:rPr>
        <w:t>ant la réception de la facture.</w:t>
      </w:r>
    </w:p>
    <w:p w14:paraId="461E6DDA" w14:textId="77777777" w:rsidR="00487D5D" w:rsidRPr="00487D5D" w:rsidRDefault="00487D5D" w:rsidP="00487D5D">
      <w:pPr>
        <w:pStyle w:val="Titre2"/>
      </w:pPr>
      <w:r w:rsidRPr="00487D5D">
        <w:lastRenderedPageBreak/>
        <w:t>Article I.5 – Compte bancaire</w:t>
      </w:r>
    </w:p>
    <w:p w14:paraId="18690EC0" w14:textId="6112771C" w:rsidR="00487D5D" w:rsidRPr="00487D5D" w:rsidRDefault="00487D5D" w:rsidP="00487D5D">
      <w:pPr>
        <w:jc w:val="both"/>
        <w:rPr>
          <w:sz w:val="24"/>
        </w:rPr>
      </w:pPr>
      <w:r w:rsidRPr="00487D5D">
        <w:rPr>
          <w:sz w:val="24"/>
        </w:rPr>
        <w:t xml:space="preserve">Les paiements sont effectués sur le compte bancaire du contractant, libellé en </w:t>
      </w:r>
      <w:r w:rsidR="00310EFD">
        <w:rPr>
          <w:sz w:val="24"/>
        </w:rPr>
        <w:t xml:space="preserve">FCFA </w:t>
      </w:r>
      <w:r w:rsidRPr="00487D5D">
        <w:rPr>
          <w:sz w:val="24"/>
        </w:rPr>
        <w:t xml:space="preserve">identifié comme </w:t>
      </w:r>
      <w:r w:rsidR="00310EFD" w:rsidRPr="00487D5D">
        <w:rPr>
          <w:sz w:val="24"/>
        </w:rPr>
        <w:t>suit :</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10"/>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0FBC135B" w:rsidR="00487D5D" w:rsidRPr="00487D5D" w:rsidRDefault="00487D5D" w:rsidP="00487D5D">
      <w:pPr>
        <w:jc w:val="both"/>
        <w:rPr>
          <w:sz w:val="24"/>
        </w:rPr>
      </w:pPr>
      <w:r w:rsidRPr="00487D5D">
        <w:rPr>
          <w:sz w:val="24"/>
        </w:rPr>
        <w:t xml:space="preserve">Aux fins de l'article II.6, le responsable du traitement des données est </w:t>
      </w:r>
      <w:r w:rsidR="00C577EA">
        <w:rPr>
          <w:sz w:val="24"/>
        </w:rPr>
        <w:t>le Coordonnateur de Fonctions Transverses</w:t>
      </w:r>
      <w:r w:rsidRPr="00487D5D">
        <w:rPr>
          <w:sz w:val="24"/>
        </w:rPr>
        <w:t>.</w:t>
      </w:r>
      <w:r w:rsidR="00CF2CE4">
        <w:rPr>
          <w:sz w:val="24"/>
        </w:rPr>
        <w:t xml:space="preserve"> </w:t>
      </w:r>
      <w:r w:rsidRPr="00487D5D">
        <w:rPr>
          <w:sz w:val="24"/>
        </w:rPr>
        <w:t xml:space="preserve">Les communications sont envoyées aux adresses </w:t>
      </w:r>
      <w:r w:rsidR="00C577EA" w:rsidRPr="00487D5D">
        <w:rPr>
          <w:sz w:val="24"/>
        </w:rPr>
        <w:t>suivantes :</w:t>
      </w:r>
    </w:p>
    <w:p w14:paraId="48E43D75" w14:textId="4C82F08B" w:rsidR="00487D5D" w:rsidRPr="00487D5D" w:rsidRDefault="00B833C3" w:rsidP="00487D5D">
      <w:pPr>
        <w:ind w:left="567"/>
        <w:jc w:val="both"/>
        <w:outlineLvl w:val="0"/>
        <w:rPr>
          <w:sz w:val="24"/>
        </w:rPr>
      </w:pPr>
      <w:r>
        <w:rPr>
          <w:sz w:val="24"/>
          <w:u w:val="single"/>
        </w:rPr>
        <w:t>Expertise France</w:t>
      </w:r>
      <w:r w:rsidR="00487D5D" w:rsidRPr="00487D5D">
        <w:rPr>
          <w:sz w:val="24"/>
        </w:rPr>
        <w:t>:</w:t>
      </w:r>
    </w:p>
    <w:p w14:paraId="4C53E2B1" w14:textId="65DF4161" w:rsidR="00487D5D" w:rsidRPr="00487D5D" w:rsidRDefault="002C63E9" w:rsidP="00AD62B9">
      <w:pPr>
        <w:spacing w:before="0" w:beforeAutospacing="0" w:after="0" w:afterAutospacing="0"/>
        <w:ind w:left="567"/>
        <w:outlineLvl w:val="0"/>
        <w:rPr>
          <w:sz w:val="24"/>
        </w:rPr>
      </w:pPr>
      <w:r>
        <w:rPr>
          <w:sz w:val="24"/>
        </w:rPr>
        <w:t xml:space="preserve">Département </w:t>
      </w:r>
      <w:r w:rsidR="00C577EA">
        <w:rPr>
          <w:sz w:val="24"/>
        </w:rPr>
        <w:t>Géographique</w:t>
      </w:r>
      <w:r>
        <w:rPr>
          <w:sz w:val="24"/>
        </w:rPr>
        <w:br/>
      </w:r>
      <w:r w:rsidR="00D36270">
        <w:rPr>
          <w:sz w:val="24"/>
        </w:rPr>
        <w:t>40, boulevard de Port-</w:t>
      </w:r>
      <w:r w:rsidR="00305009">
        <w:rPr>
          <w:sz w:val="24"/>
        </w:rPr>
        <w:t>Royal</w:t>
      </w:r>
      <w:r>
        <w:rPr>
          <w:sz w:val="24"/>
        </w:rPr>
        <w:br/>
        <w:t>7500</w:t>
      </w:r>
      <w:r w:rsidR="00305009">
        <w:rPr>
          <w:sz w:val="24"/>
        </w:rPr>
        <w:t>5</w:t>
      </w:r>
      <w:r>
        <w:rPr>
          <w:sz w:val="24"/>
        </w:rPr>
        <w:t xml:space="preserve"> </w:t>
      </w:r>
      <w:r w:rsidR="003B07ED">
        <w:rPr>
          <w:sz w:val="24"/>
        </w:rPr>
        <w:t>Paris - France</w:t>
      </w:r>
    </w:p>
    <w:p w14:paraId="492C805C" w14:textId="6CE58AB9" w:rsidR="00487D5D" w:rsidRDefault="00487D5D" w:rsidP="00AD62B9">
      <w:pPr>
        <w:tabs>
          <w:tab w:val="left" w:pos="510"/>
          <w:tab w:val="num" w:pos="1485"/>
          <w:tab w:val="left" w:pos="10977"/>
        </w:tabs>
        <w:spacing w:before="0" w:beforeAutospacing="0"/>
        <w:ind w:left="567"/>
        <w:jc w:val="both"/>
        <w:outlineLvl w:val="0"/>
        <w:rPr>
          <w:sz w:val="24"/>
        </w:rPr>
      </w:pPr>
      <w:r w:rsidRPr="00487D5D">
        <w:rPr>
          <w:sz w:val="24"/>
        </w:rPr>
        <w:t xml:space="preserve">E-mail: </w:t>
      </w:r>
      <w:hyperlink r:id="rId10" w:history="1">
        <w:r w:rsidR="00C577EA" w:rsidRPr="009979A7">
          <w:rPr>
            <w:rStyle w:val="Lienhypertexte"/>
            <w:sz w:val="24"/>
          </w:rPr>
          <w:t>pole.ca.usp.bj.tg@expertisefrance.fr</w:t>
        </w:r>
      </w:hyperlink>
      <w:r w:rsidR="00C577EA">
        <w:rPr>
          <w:sz w:val="24"/>
        </w:rPr>
        <w:t xml:space="preserve"> </w:t>
      </w:r>
    </w:p>
    <w:p w14:paraId="7A1FBEAE" w14:textId="77777777" w:rsidR="00B833C3" w:rsidRPr="00487D5D" w:rsidRDefault="00B833C3" w:rsidP="00AD62B9">
      <w:pPr>
        <w:tabs>
          <w:tab w:val="left" w:pos="510"/>
          <w:tab w:val="num" w:pos="1485"/>
          <w:tab w:val="left" w:pos="10977"/>
        </w:tabs>
        <w:spacing w:before="0" w:beforeAutospacing="0"/>
        <w:ind w:left="567"/>
        <w:jc w:val="both"/>
        <w:outlineLvl w:val="0"/>
        <w:rPr>
          <w:i/>
          <w:sz w:val="24"/>
          <w:u w:val="single"/>
        </w:rPr>
      </w:pPr>
    </w:p>
    <w:p w14:paraId="4B451E04" w14:textId="4088BBC8" w:rsidR="00487D5D" w:rsidRPr="00487D5D" w:rsidRDefault="00C577EA" w:rsidP="00487D5D">
      <w:pPr>
        <w:ind w:left="567"/>
        <w:jc w:val="both"/>
        <w:outlineLvl w:val="0"/>
        <w:rPr>
          <w:sz w:val="24"/>
        </w:rPr>
      </w:pPr>
      <w:r w:rsidRPr="00487D5D">
        <w:rPr>
          <w:sz w:val="24"/>
          <w:u w:val="single"/>
        </w:rPr>
        <w:t>Contractant</w:t>
      </w:r>
      <w:r w:rsidRPr="00487D5D">
        <w:rPr>
          <w:sz w:val="24"/>
        </w:rPr>
        <w:t xml:space="preserve"> :</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r w:rsidRPr="00487D5D">
        <w:rPr>
          <w:sz w:val="24"/>
        </w:rPr>
        <w:t>E-mail:</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07974B33" w:rsidR="002F6999" w:rsidRPr="002E42C0" w:rsidRDefault="00487D5D" w:rsidP="00530588">
      <w:pPr>
        <w:ind w:left="709" w:hanging="709"/>
        <w:jc w:val="both"/>
        <w:rPr>
          <w:snapToGrid w:val="0"/>
          <w:sz w:val="24"/>
          <w:u w:val="single"/>
        </w:rPr>
      </w:pPr>
      <w:r w:rsidRPr="00487D5D">
        <w:rPr>
          <w:b/>
          <w:noProof/>
          <w:sz w:val="24"/>
        </w:rPr>
        <w:lastRenderedPageBreak/>
        <w:t>I.7.2</w:t>
      </w:r>
      <w:r w:rsidRPr="00487D5D">
        <w:rPr>
          <w:b/>
          <w:sz w:val="24"/>
        </w:rPr>
        <w:tab/>
      </w:r>
      <w:r w:rsidRPr="00487D5D">
        <w:rPr>
          <w:sz w:val="24"/>
        </w:rPr>
        <w:t xml:space="preserve">Tout litige entre </w:t>
      </w:r>
      <w:r w:rsidR="00CF1CB1"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4EBE9BF3" w14:textId="5E995F6A" w:rsidR="00353BD9" w:rsidRPr="00353BD9" w:rsidRDefault="00C577EA" w:rsidP="00C577EA">
      <w:pPr>
        <w:jc w:val="both"/>
      </w:pPr>
      <w:r>
        <w:rPr>
          <w:b/>
          <w:noProof/>
          <w:color w:val="000000"/>
          <w:sz w:val="24"/>
        </w:rPr>
        <w:t>Sans objet</w:t>
      </w:r>
    </w:p>
    <w:p w14:paraId="0171A22E" w14:textId="26344B43" w:rsidR="00353BD9" w:rsidRPr="00353BD9" w:rsidRDefault="00353BD9" w:rsidP="00353BD9">
      <w:pPr>
        <w:pStyle w:val="Titre2"/>
      </w:pPr>
      <w:r w:rsidRPr="00353BD9">
        <w:t>Article I.9 – Résiliation par les parties</w:t>
      </w:r>
    </w:p>
    <w:p w14:paraId="7F677D92" w14:textId="63B7B00C" w:rsidR="00353BD9" w:rsidRDefault="00803261" w:rsidP="00353BD9">
      <w:pPr>
        <w:jc w:val="both"/>
        <w:rPr>
          <w:sz w:val="24"/>
        </w:rPr>
      </w:pPr>
      <w:r>
        <w:rPr>
          <w:sz w:val="24"/>
        </w:rPr>
        <w:t xml:space="preserve">Les modalités de résiliation du CC sont définies dans les conditions générales du présent contrat. </w:t>
      </w:r>
    </w:p>
    <w:p w14:paraId="30072474" w14:textId="77777777" w:rsidR="002825CC" w:rsidRPr="002825CC" w:rsidRDefault="002825CC" w:rsidP="002825CC">
      <w:pPr>
        <w:jc w:val="both"/>
        <w:rPr>
          <w:sz w:val="24"/>
        </w:rPr>
      </w:pPr>
      <w:r w:rsidRPr="002825CC">
        <w:rPr>
          <w:sz w:val="24"/>
        </w:rPr>
        <w:t xml:space="preserve">Les stipulations du présent article s’appliquent </w:t>
      </w:r>
      <w:r w:rsidRPr="002825CC">
        <w:rPr>
          <w:b/>
          <w:bCs/>
          <w:sz w:val="24"/>
        </w:rPr>
        <w:t xml:space="preserve">sans préjudice des dispositions relatives </w:t>
      </w:r>
      <w:proofErr w:type="gramStart"/>
      <w:r w:rsidRPr="002825CC">
        <w:rPr>
          <w:b/>
          <w:bCs/>
          <w:sz w:val="24"/>
        </w:rPr>
        <w:t>à la résiliation prévues</w:t>
      </w:r>
      <w:proofErr w:type="gramEnd"/>
      <w:r w:rsidRPr="002825CC">
        <w:rPr>
          <w:b/>
          <w:bCs/>
          <w:sz w:val="24"/>
        </w:rPr>
        <w:t xml:space="preserve"> par le CCAG-FCS</w:t>
      </w:r>
      <w:r w:rsidRPr="002825CC">
        <w:rPr>
          <w:sz w:val="24"/>
        </w:rPr>
        <w:t>, lequel est réputé applicable au présent contrat-cadre à bons de commande.</w:t>
      </w:r>
    </w:p>
    <w:p w14:paraId="1D0E3A67" w14:textId="6FF302E8" w:rsidR="002825CC" w:rsidRPr="002825CC" w:rsidRDefault="002825CC" w:rsidP="002825CC">
      <w:pPr>
        <w:jc w:val="both"/>
        <w:rPr>
          <w:sz w:val="24"/>
        </w:rPr>
      </w:pPr>
      <w:r w:rsidRPr="002825CC">
        <w:rPr>
          <w:sz w:val="24"/>
        </w:rPr>
        <w:t xml:space="preserve">En cas de contradiction entre les stipulations du présent contrat-cadre et celles du CCAG-FCS, </w:t>
      </w:r>
      <w:r w:rsidRPr="002825CC">
        <w:rPr>
          <w:b/>
          <w:bCs/>
          <w:sz w:val="24"/>
        </w:rPr>
        <w:t xml:space="preserve">les stipulations du </w:t>
      </w:r>
      <w:r w:rsidR="00056C27">
        <w:rPr>
          <w:b/>
          <w:bCs/>
          <w:sz w:val="24"/>
        </w:rPr>
        <w:t>CCAG</w:t>
      </w:r>
      <w:r w:rsidRPr="002825CC">
        <w:rPr>
          <w:b/>
          <w:bCs/>
          <w:sz w:val="24"/>
        </w:rPr>
        <w:t>-</w:t>
      </w:r>
      <w:proofErr w:type="gramStart"/>
      <w:r w:rsidR="00056C27">
        <w:rPr>
          <w:b/>
          <w:bCs/>
          <w:sz w:val="24"/>
        </w:rPr>
        <w:t xml:space="preserve">FCS </w:t>
      </w:r>
      <w:r w:rsidRPr="002825CC">
        <w:rPr>
          <w:b/>
          <w:bCs/>
          <w:sz w:val="24"/>
        </w:rPr>
        <w:t xml:space="preserve"> prévalent</w:t>
      </w:r>
      <w:proofErr w:type="gramEnd"/>
      <w:r w:rsidR="00056C27">
        <w:rPr>
          <w:b/>
          <w:bCs/>
          <w:sz w:val="24"/>
        </w:rPr>
        <w:t xml:space="preserve"> ou sinon la clause la plus favorable à Expertise France</w:t>
      </w:r>
      <w:r w:rsidRPr="002825CC">
        <w:rPr>
          <w:sz w:val="24"/>
        </w:rPr>
        <w:t>.</w:t>
      </w:r>
    </w:p>
    <w:p w14:paraId="45E3471A" w14:textId="77777777" w:rsidR="002825CC" w:rsidRPr="002825CC" w:rsidRDefault="002825CC" w:rsidP="002825CC">
      <w:pPr>
        <w:jc w:val="both"/>
        <w:rPr>
          <w:sz w:val="24"/>
        </w:rPr>
      </w:pPr>
      <w:r w:rsidRPr="002825CC">
        <w:rPr>
          <w:sz w:val="24"/>
        </w:rPr>
        <w:t xml:space="preserve">La résiliation peut être prononcée </w:t>
      </w:r>
      <w:r w:rsidRPr="002825CC">
        <w:rPr>
          <w:b/>
          <w:bCs/>
          <w:sz w:val="24"/>
        </w:rPr>
        <w:t>à titre total ou partiel</w:t>
      </w:r>
      <w:r w:rsidRPr="002825CC">
        <w:rPr>
          <w:sz w:val="24"/>
        </w:rPr>
        <w:t>, et notamment être limitée à un ou plusieurs bons de commande, sans entraîner de plein droit la résiliation du contrat-cadre dans son ensemble.</w:t>
      </w:r>
    </w:p>
    <w:p w14:paraId="3B2B8770" w14:textId="77777777" w:rsidR="002825CC" w:rsidRPr="002825CC" w:rsidRDefault="002825CC" w:rsidP="002825CC">
      <w:pPr>
        <w:jc w:val="both"/>
        <w:rPr>
          <w:sz w:val="24"/>
        </w:rPr>
      </w:pPr>
      <w:r w:rsidRPr="002825CC">
        <w:rPr>
          <w:sz w:val="24"/>
        </w:rPr>
        <w:t xml:space="preserve">La résiliation du contrat-cadre, d’un bon de commande ou d’un contrat spécifique ne donne lieu à </w:t>
      </w:r>
      <w:r w:rsidRPr="002825CC">
        <w:rPr>
          <w:b/>
          <w:bCs/>
          <w:sz w:val="24"/>
        </w:rPr>
        <w:t>aucune indemnisation</w:t>
      </w:r>
      <w:r w:rsidRPr="002825CC">
        <w:rPr>
          <w:sz w:val="24"/>
        </w:rPr>
        <w:t>, sous réserve des sommes dues au titre des prestations régulièrement exécutées avant la date de prise d’effet de la résiliation.</w:t>
      </w:r>
    </w:p>
    <w:p w14:paraId="18E9A663" w14:textId="213C54B1" w:rsidR="002825CC" w:rsidRDefault="00056C27" w:rsidP="00353BD9">
      <w:pPr>
        <w:jc w:val="both"/>
        <w:rPr>
          <w:sz w:val="24"/>
        </w:rPr>
      </w:pPr>
      <w:r>
        <w:rPr>
          <w:sz w:val="24"/>
        </w:rPr>
        <w:t>La résiliation pour motif d’intérêt prévue au CCAG-FCS n’est pas applicable au présent contrat.</w:t>
      </w:r>
    </w:p>
    <w:p w14:paraId="3519173B" w14:textId="77777777" w:rsidR="002825CC" w:rsidRPr="00353BD9" w:rsidRDefault="002825CC" w:rsidP="00353BD9">
      <w:pPr>
        <w:jc w:val="both"/>
        <w:rPr>
          <w:b/>
          <w:sz w:val="28"/>
        </w:rPr>
      </w:pPr>
    </w:p>
    <w:p w14:paraId="4DBAB51B" w14:textId="6571A325" w:rsidR="00353BD9" w:rsidRPr="00353BD9" w:rsidRDefault="00353BD9" w:rsidP="00353BD9">
      <w:pPr>
        <w:pStyle w:val="Titre2"/>
      </w:pPr>
      <w:r w:rsidRPr="00353BD9">
        <w:t>Article I.1</w:t>
      </w:r>
      <w:r w:rsidR="00266310">
        <w:t>0</w:t>
      </w:r>
      <w:r w:rsidRPr="00353BD9">
        <w:t xml:space="preserve"> – Autres conditions</w:t>
      </w:r>
      <w:r w:rsidR="00C577EA">
        <w:t xml:space="preserve"> particulières</w:t>
      </w:r>
    </w:p>
    <w:p w14:paraId="22CE70DF" w14:textId="3B800EFC"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14AE15CC" w:rsidR="00745209" w:rsidRPr="00745209" w:rsidRDefault="00745209" w:rsidP="00745209">
      <w:pPr>
        <w:jc w:val="both"/>
        <w:rPr>
          <w:sz w:val="24"/>
        </w:rPr>
      </w:pPr>
      <w:r w:rsidRPr="00745209">
        <w:rPr>
          <w:sz w:val="24"/>
        </w:rPr>
        <w:t>La substitution d’un nouveau bordereau des prix en cas de suppression, de modifications ou d’ajouts de référenc</w:t>
      </w:r>
      <w:r w:rsidR="00C577EA">
        <w:rPr>
          <w:sz w:val="24"/>
        </w:rPr>
        <w:t>es du bordereau des prix initiaux</w:t>
      </w:r>
      <w:r w:rsidRPr="00745209">
        <w:rPr>
          <w:sz w:val="24"/>
        </w:rPr>
        <w:t xml:space="preserve"> sous réserve de l’acceptation par </w:t>
      </w:r>
      <w:r w:rsidR="00125934">
        <w:rPr>
          <w:sz w:val="24"/>
        </w:rPr>
        <w:t>Expertise France ;</w:t>
      </w:r>
    </w:p>
    <w:p w14:paraId="4CD4FB24" w14:textId="77C8BFB6" w:rsidR="00745209" w:rsidRDefault="00745209" w:rsidP="00745209">
      <w:pPr>
        <w:jc w:val="both"/>
        <w:rPr>
          <w:sz w:val="24"/>
        </w:rPr>
      </w:pPr>
      <w:r w:rsidRPr="00745209">
        <w:rPr>
          <w:sz w:val="24"/>
        </w:rPr>
        <w:t xml:space="preserve">Ces modifications sont notifiées au contractant : </w:t>
      </w:r>
      <w:r w:rsidR="00C577EA">
        <w:rPr>
          <w:sz w:val="24"/>
        </w:rPr>
        <w:t xml:space="preserve">par </w:t>
      </w:r>
      <w:r w:rsidRPr="00745209">
        <w:rPr>
          <w:sz w:val="24"/>
        </w:rPr>
        <w:t>la conclusion d’</w:t>
      </w:r>
      <w:r w:rsidR="00C577EA">
        <w:rPr>
          <w:sz w:val="24"/>
        </w:rPr>
        <w:t>un avenant</w:t>
      </w:r>
      <w:r w:rsidRPr="00745209">
        <w:rPr>
          <w:sz w:val="24"/>
        </w:rPr>
        <w:t>.</w:t>
      </w:r>
    </w:p>
    <w:p w14:paraId="6B6F9BFB" w14:textId="35622DF5" w:rsidR="00C27D8E" w:rsidRDefault="00C27D8E" w:rsidP="00745209">
      <w:pPr>
        <w:jc w:val="both"/>
        <w:rPr>
          <w:sz w:val="24"/>
        </w:rPr>
      </w:pPr>
      <w:r w:rsidRPr="00C27D8E">
        <w:rPr>
          <w:sz w:val="24"/>
        </w:rPr>
        <w:lastRenderedPageBreak/>
        <w:t>Si les produits du BPU acceptés par le pouvoir adjudicateur lors de la conclusion du marché venaient à changer, le titulaire devrait en informer l’acheteur, par lettre recommandée avec avis de réception postal en lui précisant les caractéristiques des nouveaux produits proposés. Il est alors permis de faire évoluer le Bordereau des Prix Unitaires aux conditions suivantes : • Les modifications concernent le référentiel du produit (intitulé, caractéristiques, conditionnement) et le nom du fournisseur ; • Le prix de ces nouveaux produits, dont les performances doivent être au moins équivalentes, sera au plus égal à celui des produits auxquels ils se substituent ; • En tout état de cause, la Ville se gardera le droit de refuser les éventuels articles de substitution si elle l’estime nécessaire. Sous réserve de leur acceptation par l’acheteur, ces éléments se substituent à ceux figurant dans l’offre initiale du titulaire ; en aucun cas il ne pourra être procédé à la suppression d’un article. Dans le cas où les équivalents seraient refusés, la Direction des Moyens Généraux se garde la possibilité de demander un autre équivalent sans surcoût</w:t>
      </w:r>
    </w:p>
    <w:p w14:paraId="6D80B008" w14:textId="77777777" w:rsidR="00C27D8E" w:rsidRPr="00745209" w:rsidRDefault="00C27D8E" w:rsidP="00745209">
      <w:pPr>
        <w:jc w:val="both"/>
        <w:rPr>
          <w:sz w:val="24"/>
        </w:rPr>
      </w:pPr>
    </w:p>
    <w:p w14:paraId="5AE304DB" w14:textId="6043000D"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0C0B6EC3" w14:textId="3BB99492" w:rsidR="002B52CA" w:rsidRPr="00BF67F2" w:rsidRDefault="00A319DC" w:rsidP="00BF67F2">
      <w:pPr>
        <w:jc w:val="both"/>
        <w:rPr>
          <w:sz w:val="24"/>
        </w:rPr>
      </w:pPr>
      <w:r w:rsidRPr="00BF67F2">
        <w:rPr>
          <w:sz w:val="24"/>
        </w:rPr>
        <w:t>L</w:t>
      </w:r>
      <w:r w:rsidR="002B52CA" w:rsidRPr="00BF67F2">
        <w:rPr>
          <w:sz w:val="24"/>
        </w:rPr>
        <w:t xml:space="preserve">es pénalités sont fixées forfaitairement à 100€ net par jour de retard de remise des livrables finaux attendus </w:t>
      </w:r>
      <w:r w:rsidRPr="00BF67F2">
        <w:rPr>
          <w:sz w:val="24"/>
        </w:rPr>
        <w:t>au ti</w:t>
      </w:r>
      <w:r w:rsidR="00C577EA">
        <w:rPr>
          <w:sz w:val="24"/>
        </w:rPr>
        <w:t xml:space="preserve">tre </w:t>
      </w:r>
      <w:r w:rsidRPr="00BF67F2">
        <w:rPr>
          <w:sz w:val="24"/>
        </w:rPr>
        <w:t>des bons de commande concernés</w:t>
      </w:r>
      <w:r w:rsidR="002B52CA" w:rsidRPr="00BF67F2">
        <w:rPr>
          <w:sz w:val="24"/>
        </w:rPr>
        <w:t>.</w:t>
      </w:r>
    </w:p>
    <w:p w14:paraId="34208545" w14:textId="6A3FAF5F" w:rsidR="002B52CA" w:rsidRPr="00BF67F2" w:rsidRDefault="00A319DC" w:rsidP="00BF67F2">
      <w:pPr>
        <w:jc w:val="both"/>
        <w:rPr>
          <w:sz w:val="24"/>
        </w:rPr>
      </w:pPr>
      <w:r w:rsidRPr="00BF67F2">
        <w:rPr>
          <w:sz w:val="24"/>
        </w:rPr>
        <w:t>Le montant des pénalités sera appliqué dans le calcul du solde des versements dus au ti</w:t>
      </w:r>
      <w:r w:rsidR="00C577EA">
        <w:rPr>
          <w:sz w:val="24"/>
        </w:rPr>
        <w:t xml:space="preserve">tre </w:t>
      </w:r>
      <w:r w:rsidRPr="00BF67F2">
        <w:rPr>
          <w:sz w:val="24"/>
        </w:rPr>
        <w:t>des bons de commande concernés.</w:t>
      </w:r>
    </w:p>
    <w:p w14:paraId="5E43B8A7" w14:textId="0B3E97FF" w:rsidR="00F73CB8" w:rsidRDefault="00BF67F2" w:rsidP="00BF67F2">
      <w:pPr>
        <w:jc w:val="both"/>
        <w:rPr>
          <w:sz w:val="24"/>
        </w:rPr>
      </w:pPr>
      <w:r w:rsidRPr="00BF67F2">
        <w:rPr>
          <w:sz w:val="24"/>
        </w:rPr>
        <w:t xml:space="preserve">En toutes hypothèses, le montant des pénalités ne pourra dépasser 10% de la </w:t>
      </w:r>
      <w:r w:rsidR="00C577EA">
        <w:rPr>
          <w:sz w:val="24"/>
        </w:rPr>
        <w:t>valeur du bon de commande concerné.</w:t>
      </w:r>
    </w:p>
    <w:p w14:paraId="0031714A" w14:textId="77777777" w:rsidR="00056C27" w:rsidRPr="002B13F4" w:rsidRDefault="00056C27" w:rsidP="002B13F4">
      <w:pPr>
        <w:pStyle w:val="NormalWeb"/>
        <w:jc w:val="both"/>
        <w:rPr>
          <w:rFonts w:asciiTheme="minorHAnsi" w:hAnsiTheme="minorHAnsi" w:cstheme="minorHAnsi"/>
        </w:rPr>
      </w:pPr>
      <w:r w:rsidRPr="002B13F4">
        <w:rPr>
          <w:rFonts w:asciiTheme="minorHAnsi" w:hAnsiTheme="minorHAnsi" w:cstheme="minorHAnsi"/>
        </w:rPr>
        <w:t xml:space="preserve">Les pénalités de retard sont applicables </w:t>
      </w:r>
      <w:r w:rsidRPr="002B13F4">
        <w:rPr>
          <w:rStyle w:val="lev"/>
          <w:rFonts w:asciiTheme="minorHAnsi" w:hAnsiTheme="minorHAnsi" w:cstheme="minorHAnsi"/>
        </w:rPr>
        <w:t>sans mise en demeure préalable</w:t>
      </w:r>
      <w:r w:rsidRPr="002B13F4">
        <w:rPr>
          <w:rFonts w:asciiTheme="minorHAnsi" w:hAnsiTheme="minorHAnsi" w:cstheme="minorHAnsi"/>
        </w:rPr>
        <w:t>, dès lors que le dépassement des délais contractuels est imputable au titulaire.</w:t>
      </w:r>
    </w:p>
    <w:p w14:paraId="03D3D6FD" w14:textId="77777777" w:rsidR="00056C27" w:rsidRPr="002B13F4" w:rsidRDefault="00056C27" w:rsidP="002B13F4">
      <w:pPr>
        <w:pStyle w:val="NormalWeb"/>
        <w:jc w:val="both"/>
        <w:rPr>
          <w:rFonts w:asciiTheme="minorHAnsi" w:hAnsiTheme="minorHAnsi" w:cstheme="minorHAnsi"/>
        </w:rPr>
      </w:pPr>
      <w:r w:rsidRPr="002B13F4">
        <w:rPr>
          <w:rFonts w:asciiTheme="minorHAnsi" w:hAnsiTheme="minorHAnsi" w:cstheme="minorHAnsi"/>
        </w:rPr>
        <w:t xml:space="preserve">Le retard s’apprécie </w:t>
      </w:r>
      <w:r w:rsidRPr="002B13F4">
        <w:rPr>
          <w:rStyle w:val="lev"/>
          <w:rFonts w:asciiTheme="minorHAnsi" w:hAnsiTheme="minorHAnsi" w:cstheme="minorHAnsi"/>
        </w:rPr>
        <w:t>par jour calendaire entier</w:t>
      </w:r>
      <w:r w:rsidRPr="002B13F4">
        <w:rPr>
          <w:rFonts w:asciiTheme="minorHAnsi" w:hAnsiTheme="minorHAnsi" w:cstheme="minorHAnsi"/>
        </w:rPr>
        <w:t>, à compter du lendemain de la date contractuelle de remise des livrables finaux ou de réalisation effective des prestations prévues au bon de commande concerné, jusqu’à leur complète exécution conforme.</w:t>
      </w:r>
    </w:p>
    <w:p w14:paraId="70EB56BD" w14:textId="77777777" w:rsidR="00056C27" w:rsidRPr="002B13F4" w:rsidRDefault="00056C27" w:rsidP="002B13F4">
      <w:pPr>
        <w:pStyle w:val="NormalWeb"/>
        <w:jc w:val="both"/>
        <w:rPr>
          <w:rFonts w:asciiTheme="minorHAnsi" w:hAnsiTheme="minorHAnsi" w:cstheme="minorHAnsi"/>
        </w:rPr>
      </w:pPr>
      <w:r w:rsidRPr="002B13F4">
        <w:rPr>
          <w:rFonts w:asciiTheme="minorHAnsi" w:hAnsiTheme="minorHAnsi" w:cstheme="minorHAnsi"/>
        </w:rPr>
        <w:t xml:space="preserve">Les pénalités sont </w:t>
      </w:r>
      <w:r w:rsidRPr="002B13F4">
        <w:rPr>
          <w:rStyle w:val="lev"/>
          <w:rFonts w:asciiTheme="minorHAnsi" w:hAnsiTheme="minorHAnsi" w:cstheme="minorHAnsi"/>
        </w:rPr>
        <w:t>cumulables avec toute autre mesure contractuelle</w:t>
      </w:r>
      <w:r w:rsidRPr="002B13F4">
        <w:rPr>
          <w:rFonts w:asciiTheme="minorHAnsi" w:hAnsiTheme="minorHAnsi" w:cstheme="minorHAnsi"/>
        </w:rPr>
        <w:t>, notamment l’application de la résiliation du bon de commande ou du contrat-cadre, lorsque les conditions en sont réunies.</w:t>
      </w:r>
      <w:bookmarkStart w:id="0" w:name="_GoBack"/>
      <w:bookmarkEnd w:id="0"/>
    </w:p>
    <w:p w14:paraId="0F6B8D08" w14:textId="77777777" w:rsidR="00056C27" w:rsidRPr="002B13F4" w:rsidRDefault="00056C27" w:rsidP="002B13F4">
      <w:pPr>
        <w:pStyle w:val="NormalWeb"/>
        <w:jc w:val="both"/>
        <w:rPr>
          <w:rFonts w:asciiTheme="minorHAnsi" w:hAnsiTheme="minorHAnsi" w:cstheme="minorHAnsi"/>
        </w:rPr>
      </w:pPr>
      <w:r w:rsidRPr="002B13F4">
        <w:rPr>
          <w:rFonts w:asciiTheme="minorHAnsi" w:hAnsiTheme="minorHAnsi" w:cstheme="minorHAnsi"/>
        </w:rPr>
        <w:t xml:space="preserve">L’application des pénalités ne fait pas obstacle au droit pour Expertise France de solliciter, le cas échéant, la </w:t>
      </w:r>
      <w:r w:rsidRPr="002B13F4">
        <w:rPr>
          <w:rStyle w:val="lev"/>
          <w:rFonts w:asciiTheme="minorHAnsi" w:hAnsiTheme="minorHAnsi" w:cstheme="minorHAnsi"/>
        </w:rPr>
        <w:t>réparation du préjudice subi</w:t>
      </w:r>
      <w:r w:rsidRPr="002B13F4">
        <w:rPr>
          <w:rFonts w:asciiTheme="minorHAnsi" w:hAnsiTheme="minorHAnsi" w:cstheme="minorHAnsi"/>
        </w:rPr>
        <w:t xml:space="preserve"> lorsque celui-ci est distinct du retard constaté.</w:t>
      </w:r>
    </w:p>
    <w:p w14:paraId="09DF1A08" w14:textId="7CE67786" w:rsidR="00056C27" w:rsidRDefault="00056C27" w:rsidP="00BF67F2">
      <w:pPr>
        <w:jc w:val="both"/>
        <w:rPr>
          <w:sz w:val="24"/>
        </w:rPr>
      </w:pP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1"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2"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3"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4"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5"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6"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1"/>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2"/>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proofErr w:type="gramStart"/>
      <w:r w:rsidRPr="00273F95">
        <w:rPr>
          <w:sz w:val="24"/>
        </w:rPr>
        <w:t>que</w:t>
      </w:r>
      <w:proofErr w:type="gramEnd"/>
      <w:r w:rsidRPr="00273F95">
        <w:rPr>
          <w:sz w:val="24"/>
        </w:rPr>
        <w:t xml:space="preserv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sidRPr="00273F95">
        <w:rPr>
          <w:sz w:val="24"/>
        </w:rPr>
        <w:lastRenderedPageBreak/>
        <w:t>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AE1B66" w:rsidP="001C5A6B">
      <w:pPr>
        <w:spacing w:before="0" w:beforeAutospacing="0" w:after="0" w:afterAutospacing="0"/>
        <w:ind w:left="851"/>
        <w:jc w:val="both"/>
        <w:outlineLvl w:val="0"/>
        <w:rPr>
          <w:bCs/>
          <w:sz w:val="24"/>
        </w:rPr>
      </w:pPr>
      <w:hyperlink r:id="rId23"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sidRPr="00E626C2">
        <w:rPr>
          <w:sz w:val="24"/>
        </w:rPr>
        <w:lastRenderedPageBreak/>
        <w:t>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sidRPr="004E4DE0">
        <w:rPr>
          <w:sz w:val="24"/>
        </w:rPr>
        <w:lastRenderedPageBreak/>
        <w:t xml:space="preserve">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4"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5"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w:t>
      </w:r>
      <w:r w:rsidRPr="004E4DE0">
        <w:rPr>
          <w:sz w:val="24"/>
        </w:rPr>
        <w:lastRenderedPageBreak/>
        <w:t xml:space="preserve">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 xml:space="preserve">La gestion et le suivi du </w:t>
      </w:r>
      <w:proofErr w:type="spellStart"/>
      <w:r w:rsidRPr="00100468">
        <w:rPr>
          <w:sz w:val="24"/>
        </w:rPr>
        <w:t>reporting</w:t>
      </w:r>
      <w:proofErr w:type="spellEnd"/>
      <w:r w:rsidRPr="00100468">
        <w:rPr>
          <w:sz w:val="24"/>
        </w:rPr>
        <w:t xml:space="preserve">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xml:space="preserve">, des ministères et des opérateurs de l'Etat, les bailleurs de fonds, en </w:t>
      </w:r>
      <w:proofErr w:type="gramStart"/>
      <w:r w:rsidR="00454406" w:rsidRPr="00100468">
        <w:rPr>
          <w:sz w:val="24"/>
        </w:rPr>
        <w:t>charge</w:t>
      </w:r>
      <w:proofErr w:type="gramEnd"/>
      <w:r w:rsidR="00454406" w:rsidRPr="00100468">
        <w:rPr>
          <w:sz w:val="24"/>
        </w:rPr>
        <w:t xml:space="preserv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6"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 xml:space="preserve">La personne dont les données à caractère personnel sont collectées dans le cadre de la </w:t>
      </w:r>
      <w:r w:rsidR="00454406" w:rsidRPr="00100468">
        <w:rPr>
          <w:sz w:val="24"/>
        </w:rPr>
        <w:lastRenderedPageBreak/>
        <w:t>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w:t>
      </w:r>
      <w:r w:rsidR="00454406" w:rsidRPr="00100468">
        <w:rPr>
          <w:noProof/>
          <w:sz w:val="24"/>
        </w:rPr>
        <w:lastRenderedPageBreak/>
        <w:t xml:space="preserve">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par</w:t>
      </w:r>
      <w:proofErr w:type="gramStart"/>
      <w:r w:rsidRPr="00442D03">
        <w:rPr>
          <w:sz w:val="24"/>
        </w:rPr>
        <w:t xml:space="preserve"> «résultats</w:t>
      </w:r>
      <w:proofErr w:type="gramEnd"/>
      <w:r w:rsidRPr="00442D03">
        <w:rPr>
          <w:sz w:val="24"/>
        </w:rPr>
        <w:t xml:space="preserve">»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2) on entend par</w:t>
      </w:r>
      <w:proofErr w:type="gramStart"/>
      <w:r w:rsidRPr="00E82F2E">
        <w:rPr>
          <w:sz w:val="24"/>
        </w:rPr>
        <w:t xml:space="preserve"> «auteur</w:t>
      </w:r>
      <w:proofErr w:type="gramEnd"/>
      <w:r w:rsidRPr="00E82F2E">
        <w:rPr>
          <w:sz w:val="24"/>
        </w:rPr>
        <w:t xml:space="preserve">»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w:t>
      </w:r>
      <w:proofErr w:type="gramStart"/>
      <w:r w:rsidRPr="00860F96">
        <w:rPr>
          <w:sz w:val="24"/>
        </w:rPr>
        <w:t xml:space="preserve"> «droits</w:t>
      </w:r>
      <w:proofErr w:type="gramEnd"/>
      <w:r w:rsidRPr="00860F96">
        <w:rPr>
          <w:sz w:val="24"/>
        </w:rPr>
        <w:t xml:space="preserve">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installation</w:t>
      </w:r>
      <w:proofErr w:type="gramEnd"/>
      <w:r w:rsidRPr="00DC221F">
        <w:rPr>
          <w:sz w:val="24"/>
        </w:rPr>
        <w:t>,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arrangement</w:t>
      </w:r>
      <w:proofErr w:type="gramEnd"/>
      <w:r w:rsidRPr="00DC221F">
        <w:rPr>
          <w:sz w:val="24"/>
        </w:rPr>
        <w: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copie</w:t>
      </w:r>
      <w:proofErr w:type="gramEnd"/>
      <w:r w:rsidRPr="00DC221F">
        <w:rPr>
          <w:sz w:val="24"/>
        </w:rPr>
        <w:t>,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radiodiffusion</w:t>
      </w:r>
      <w:proofErr w:type="gramEnd"/>
      <w:r w:rsidRPr="00DC221F">
        <w:rPr>
          <w:sz w:val="24"/>
        </w:rPr>
        <w:t xml:space="preserve">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lastRenderedPageBreak/>
        <w:t>présentation</w:t>
      </w:r>
      <w:proofErr w:type="gramEnd"/>
      <w:r w:rsidRPr="00DC221F">
        <w:rPr>
          <w:sz w:val="24"/>
        </w:rPr>
        <w:t xml:space="preserve">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communication</w:t>
      </w:r>
      <w:proofErr w:type="gramEnd"/>
      <w:r w:rsidRPr="00DC221F">
        <w:rPr>
          <w:sz w:val="24"/>
        </w:rPr>
        <w:t xml:space="preserve">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intégration</w:t>
      </w:r>
      <w:proofErr w:type="gramEnd"/>
      <w:r w:rsidRPr="00DC221F">
        <w:rPr>
          <w:sz w:val="24"/>
        </w:rPr>
        <w:t xml:space="preserve">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autre</w:t>
      </w:r>
      <w:proofErr w:type="gramEnd"/>
      <w:r w:rsidRPr="00DC221F">
        <w:rPr>
          <w:sz w:val="24"/>
        </w:rPr>
        <w:t xml:space="preserv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réalisation</w:t>
      </w:r>
      <w:proofErr w:type="gramEnd"/>
      <w:r w:rsidRPr="00DC221F">
        <w:rPr>
          <w:sz w:val="24"/>
        </w:rPr>
        <w:t xml:space="preserve">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résumé</w:t>
      </w:r>
      <w:proofErr w:type="gramEnd"/>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correction</w:t>
      </w:r>
      <w:proofErr w:type="gramEnd"/>
      <w:r w:rsidRPr="00DC221F">
        <w:rPr>
          <w:sz w:val="24"/>
        </w:rPr>
        <w:t xml:space="preserve">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ajout</w:t>
      </w:r>
      <w:proofErr w:type="gramEnd"/>
      <w:r w:rsidRPr="00DC221F">
        <w:rPr>
          <w:sz w:val="24"/>
        </w:rPr>
        <w:t xml:space="preserve">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modification</w:t>
      </w:r>
      <w:proofErr w:type="gramEnd"/>
      <w:r w:rsidRPr="00DC221F">
        <w:rPr>
          <w:sz w:val="24"/>
        </w:rPr>
        <w:t xml:space="preserve">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fourniture</w:t>
      </w:r>
      <w:proofErr w:type="gramEnd"/>
      <w:r w:rsidRPr="00DC221F">
        <w:rPr>
          <w:sz w:val="24"/>
        </w:rPr>
        <w:t xml:space="preserv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ajout</w:t>
      </w:r>
      <w:proofErr w:type="gramEnd"/>
      <w:r w:rsidRPr="00DC221F">
        <w:rPr>
          <w:sz w:val="24"/>
        </w:rPr>
        <w:t xml:space="preserve">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adaptation</w:t>
      </w:r>
      <w:proofErr w:type="gramEnd"/>
      <w:r w:rsidRPr="00DC221F">
        <w:rPr>
          <w:sz w:val="24"/>
        </w:rPr>
        <w:t xml:space="preserve">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sélection</w:t>
      </w:r>
      <w:proofErr w:type="gramEnd"/>
      <w:r w:rsidRPr="00DC221F">
        <w:rPr>
          <w:sz w:val="24"/>
        </w:rPr>
        <w:t xml:space="preserve">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utilisation</w:t>
      </w:r>
      <w:proofErr w:type="gramEnd"/>
      <w:r w:rsidRPr="00DC221F">
        <w:rPr>
          <w:sz w:val="24"/>
        </w:rPr>
        <w:t xml:space="preserve">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numérisation</w:t>
      </w:r>
      <w:proofErr w:type="gramEnd"/>
      <w:r w:rsidRPr="00DC221F">
        <w:rPr>
          <w:sz w:val="24"/>
        </w:rPr>
        <w:t xml:space="preserve">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traduction</w:t>
      </w:r>
      <w:proofErr w:type="gramEnd"/>
      <w:r w:rsidRPr="00DC221F">
        <w:rPr>
          <w:sz w:val="24"/>
        </w:rPr>
        <w:t>,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anglais</w:t>
      </w:r>
      <w:proofErr w:type="gramEnd"/>
      <w:r w:rsidRPr="00DC221F">
        <w:rPr>
          <w:sz w:val="24"/>
        </w:rPr>
        <w:t>,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toutes</w:t>
      </w:r>
      <w:proofErr w:type="gramEnd"/>
      <w:r w:rsidRPr="00DC221F">
        <w:rPr>
          <w:sz w:val="24"/>
        </w:rPr>
        <w:t xml:space="preserve">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divulgation</w:t>
      </w:r>
      <w:proofErr w:type="gramEnd"/>
      <w:r w:rsidRPr="00DC221F">
        <w:rPr>
          <w:sz w:val="24"/>
        </w:rPr>
        <w:t xml:space="preserve">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stockage</w:t>
      </w:r>
      <w:proofErr w:type="gramEnd"/>
      <w:r w:rsidRPr="00DC221F">
        <w:rPr>
          <w:sz w:val="24"/>
        </w:rPr>
        <w:t xml:space="preserv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archivage</w:t>
      </w:r>
      <w:proofErr w:type="gramEnd"/>
      <w:r w:rsidRPr="00DC221F">
        <w:rPr>
          <w:sz w:val="24"/>
        </w:rPr>
        <w:t xml:space="preserv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w:t>
      </w:r>
      <w:proofErr w:type="gramStart"/>
      <w:r w:rsidRPr="00DC221F">
        <w:rPr>
          <w:sz w:val="24"/>
        </w:rPr>
        <w:t>ce dernier demande</w:t>
      </w:r>
      <w:proofErr w:type="gramEnd"/>
      <w:r w:rsidRPr="00DC221F">
        <w:rPr>
          <w:sz w:val="24"/>
        </w:rPr>
        <w:t xml:space="preserv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 xml:space="preserve">Ces preuves peuvent notamment concerner les droits liés aux éléments </w:t>
      </w:r>
      <w:proofErr w:type="gramStart"/>
      <w:r w:rsidRPr="00A34B7F">
        <w:rPr>
          <w:sz w:val="24"/>
        </w:rPr>
        <w:t>suivants:</w:t>
      </w:r>
      <w:proofErr w:type="gramEnd"/>
      <w:r w:rsidRPr="00A34B7F">
        <w:rPr>
          <w:sz w:val="24"/>
        </w:rPr>
        <w:t xml:space="preserve">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proofErr w:type="gramStart"/>
      <w:r w:rsidRPr="00E90314">
        <w:rPr>
          <w:sz w:val="24"/>
        </w:rPr>
        <w:t>les</w:t>
      </w:r>
      <w:proofErr w:type="gramEnd"/>
      <w:r w:rsidRPr="00E90314">
        <w:rPr>
          <w:sz w:val="24"/>
        </w:rPr>
        <w:t xml:space="preserve">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proofErr w:type="gramStart"/>
      <w:r w:rsidRPr="00267EC1">
        <w:rPr>
          <w:sz w:val="24"/>
        </w:rPr>
        <w:lastRenderedPageBreak/>
        <w:t>l'identification</w:t>
      </w:r>
      <w:proofErr w:type="gramEnd"/>
      <w:r w:rsidRPr="00267EC1">
        <w:rPr>
          <w:sz w:val="24"/>
        </w:rPr>
        <w:t xml:space="preserve">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le</w:t>
      </w:r>
      <w:proofErr w:type="gramEnd"/>
      <w:r w:rsidRPr="00AF57F8">
        <w:rPr>
          <w:sz w:val="24"/>
        </w:rPr>
        <w:t xml:space="preserv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w:t>
      </w:r>
      <w:proofErr w:type="gramStart"/>
      <w:r w:rsidRPr="007F2769">
        <w:rPr>
          <w:sz w:val="24"/>
        </w:rPr>
        <w:t xml:space="preserve"> «force</w:t>
      </w:r>
      <w:proofErr w:type="gramEnd"/>
      <w:r w:rsidRPr="007F2769">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w:t>
      </w:r>
      <w:proofErr w:type="gramStart"/>
      <w:r w:rsidRPr="00A17B8E">
        <w:rPr>
          <w:sz w:val="24"/>
        </w:rPr>
        <w:t>ces observations confirmée</w:t>
      </w:r>
      <w:proofErr w:type="gramEnd"/>
      <w:r w:rsidRPr="00A17B8E">
        <w:rPr>
          <w:sz w:val="24"/>
        </w:rPr>
        <w:t xml:space="preserv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proofErr w:type="gramStart"/>
      <w:r w:rsidRPr="00740822">
        <w:rPr>
          <w:sz w:val="24"/>
        </w:rPr>
        <w:t>les</w:t>
      </w:r>
      <w:proofErr w:type="gramEnd"/>
      <w:r w:rsidRPr="00740822">
        <w:rPr>
          <w:sz w:val="24"/>
        </w:rPr>
        <w:t xml:space="preserve">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proofErr w:type="gramStart"/>
      <w:r w:rsidRPr="00AD7976">
        <w:rPr>
          <w:sz w:val="24"/>
        </w:rPr>
        <w:t>les</w:t>
      </w:r>
      <w:proofErr w:type="gramEnd"/>
      <w:r w:rsidRPr="00AD7976">
        <w:rPr>
          <w:sz w:val="24"/>
        </w:rPr>
        <w:t xml:space="preserve">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proofErr w:type="gramStart"/>
      <w:r w:rsidRPr="00E90314">
        <w:rPr>
          <w:sz w:val="24"/>
        </w:rPr>
        <w:t>les</w:t>
      </w:r>
      <w:proofErr w:type="gramEnd"/>
      <w:r w:rsidRPr="00E90314">
        <w:rPr>
          <w:sz w:val="24"/>
        </w:rPr>
        <w:t xml:space="preserve">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proofErr w:type="gramStart"/>
      <w:r w:rsidRPr="00A86A24">
        <w:rPr>
          <w:sz w:val="24"/>
        </w:rPr>
        <w:t>la</w:t>
      </w:r>
      <w:proofErr w:type="gramEnd"/>
      <w:r w:rsidRPr="00A86A24">
        <w:rPr>
          <w:sz w:val="24"/>
        </w:rPr>
        <w:t xml:space="preserve">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proofErr w:type="gramStart"/>
      <w:r w:rsidRPr="00A86A24">
        <w:rPr>
          <w:sz w:val="24"/>
        </w:rPr>
        <w:t>le</w:t>
      </w:r>
      <w:proofErr w:type="gramEnd"/>
      <w:r w:rsidRPr="00A86A24">
        <w:rPr>
          <w:sz w:val="24"/>
        </w:rPr>
        <w:t xml:space="preserv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lastRenderedPageBreak/>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lastRenderedPageBreak/>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w:t>
      </w:r>
      <w:proofErr w:type="gramStart"/>
      <w:r w:rsidRPr="00760DF8">
        <w:rPr>
          <w:sz w:val="24"/>
        </w:rPr>
        <w:t>est</w:t>
      </w:r>
      <w:proofErr w:type="gramEnd"/>
      <w:r w:rsidRPr="00760DF8">
        <w:rPr>
          <w:sz w:val="24"/>
        </w:rPr>
        <w:t xml:space="preserve">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 xml:space="preserve">Sur la base des constatations faites lors de l'audit, un rapport provisoire est établi. Celui-ci est transmis au contractant, qui peut faire part de ses observations dans les trente </w:t>
      </w:r>
      <w:r w:rsidRPr="006A6F4D">
        <w:rPr>
          <w:sz w:val="24"/>
        </w:rPr>
        <w:lastRenderedPageBreak/>
        <w:t>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BA396D">
          <w:headerReference w:type="default" r:id="rId27"/>
          <w:footerReference w:type="even" r:id="rId28"/>
          <w:headerReference w:type="first" r:id="rId29"/>
          <w:footerReference w:type="first" r:id="rId30"/>
          <w:pgSz w:w="11906" w:h="16838"/>
          <w:pgMar w:top="1021" w:right="991" w:bottom="1021" w:left="1588" w:header="720" w:footer="720" w:gutter="0"/>
          <w:cols w:space="720"/>
          <w:titlePg/>
        </w:sectPr>
      </w:pPr>
    </w:p>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31" o:title=""/>
                </v:shape>
                <o:OLEObject Type="Embed" ProgID="Excel.Sheet.12" ShapeID="_x0000_i1025" DrawAspect="Content" ObjectID="_1832396320" r:id="rId32"/>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3"/>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EBBEE" w14:textId="77777777" w:rsidR="00AE1B66" w:rsidRDefault="00AE1B66">
      <w:r>
        <w:separator/>
      </w:r>
    </w:p>
  </w:endnote>
  <w:endnote w:type="continuationSeparator" w:id="0">
    <w:p w14:paraId="7F4529F1" w14:textId="77777777" w:rsidR="00AE1B66" w:rsidRDefault="00AE1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004C99" w:rsidRDefault="00004C99"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004C99" w:rsidRDefault="00004C9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004C99" w:rsidRPr="00180F28" w:rsidRDefault="00004C99"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22940AFC" w:rsidR="00004C99" w:rsidRPr="00BA396D" w:rsidRDefault="00AE1B66"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004C99" w:rsidRPr="00BA396D">
          <w:rPr>
            <w:rFonts w:ascii="Calibri" w:eastAsia="Times" w:hAnsi="Calibri"/>
            <w:szCs w:val="20"/>
          </w:rPr>
          <w:tab/>
          <w:t xml:space="preserve">Page </w:t>
        </w:r>
        <w:r w:rsidR="00004C99" w:rsidRPr="00BA396D">
          <w:rPr>
            <w:rFonts w:ascii="Calibri" w:eastAsia="Times" w:hAnsi="Calibri"/>
            <w:b/>
            <w:bCs/>
            <w:szCs w:val="20"/>
          </w:rPr>
          <w:fldChar w:fldCharType="begin"/>
        </w:r>
        <w:r w:rsidR="00004C99" w:rsidRPr="00BA396D">
          <w:rPr>
            <w:rFonts w:ascii="Calibri" w:eastAsia="Times" w:hAnsi="Calibri"/>
            <w:b/>
            <w:bCs/>
            <w:szCs w:val="20"/>
          </w:rPr>
          <w:instrText>PAGE</w:instrText>
        </w:r>
        <w:r w:rsidR="00004C99" w:rsidRPr="00BA396D">
          <w:rPr>
            <w:rFonts w:ascii="Calibri" w:eastAsia="Times" w:hAnsi="Calibri"/>
            <w:b/>
            <w:bCs/>
            <w:szCs w:val="20"/>
          </w:rPr>
          <w:fldChar w:fldCharType="separate"/>
        </w:r>
        <w:r w:rsidR="002B13F4">
          <w:rPr>
            <w:rFonts w:ascii="Calibri" w:eastAsia="Times" w:hAnsi="Calibri"/>
            <w:b/>
            <w:bCs/>
            <w:noProof/>
            <w:szCs w:val="20"/>
          </w:rPr>
          <w:t>21</w:t>
        </w:r>
        <w:r w:rsidR="00004C99" w:rsidRPr="00BA396D">
          <w:rPr>
            <w:rFonts w:ascii="Calibri" w:eastAsia="Times" w:hAnsi="Calibri"/>
            <w:b/>
            <w:bCs/>
            <w:szCs w:val="20"/>
          </w:rPr>
          <w:fldChar w:fldCharType="end"/>
        </w:r>
      </w:sdtContent>
    </w:sdt>
  </w:p>
  <w:p w14:paraId="0790D45C" w14:textId="5C0C72AD" w:rsidR="00004C99" w:rsidRPr="00BA396D" w:rsidRDefault="00004C99"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004C99" w:rsidRPr="006E44C4" w:rsidRDefault="00004C99"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54CFEF6F" w:rsidR="00004C99" w:rsidRPr="006E44C4" w:rsidRDefault="00AE1B66"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004C99" w:rsidRPr="006E44C4">
                  <w:rPr>
                    <w:rFonts w:ascii="Calibri" w:eastAsia="Times" w:hAnsi="Calibri"/>
                    <w:sz w:val="22"/>
                    <w:szCs w:val="22"/>
                  </w:rPr>
                  <w:t>DAJ_M01</w:t>
                </w:r>
                <w:r w:rsidR="00004C99">
                  <w:rPr>
                    <w:rFonts w:ascii="Calibri" w:eastAsia="Times" w:hAnsi="Calibri"/>
                    <w:sz w:val="22"/>
                    <w:szCs w:val="22"/>
                  </w:rPr>
                  <w:t>1</w:t>
                </w:r>
                <w:r w:rsidR="00004C99" w:rsidRPr="006E44C4">
                  <w:rPr>
                    <w:rFonts w:ascii="Calibri" w:eastAsia="Times" w:hAnsi="Calibri"/>
                    <w:sz w:val="22"/>
                    <w:szCs w:val="22"/>
                  </w:rPr>
                  <w:t>_v</w:t>
                </w:r>
                <w:r w:rsidR="00004C99">
                  <w:rPr>
                    <w:rFonts w:ascii="Calibri" w:eastAsia="Times" w:hAnsi="Calibri"/>
                    <w:sz w:val="22"/>
                    <w:szCs w:val="22"/>
                  </w:rPr>
                  <w:t>010</w:t>
                </w:r>
                <w:r w:rsidR="00004C99" w:rsidRPr="006E44C4">
                  <w:rPr>
                    <w:rFonts w:ascii="Calibri" w:eastAsia="Times" w:hAnsi="Calibri"/>
                    <w:sz w:val="22"/>
                    <w:szCs w:val="22"/>
                  </w:rPr>
                  <w:tab/>
                  <w:t xml:space="preserve">Page </w:t>
                </w:r>
                <w:r w:rsidR="00004C99" w:rsidRPr="006E44C4">
                  <w:rPr>
                    <w:rFonts w:ascii="Calibri" w:eastAsia="Times" w:hAnsi="Calibri"/>
                    <w:b/>
                    <w:bCs/>
                    <w:sz w:val="22"/>
                    <w:szCs w:val="22"/>
                  </w:rPr>
                  <w:fldChar w:fldCharType="begin"/>
                </w:r>
                <w:r w:rsidR="00004C99" w:rsidRPr="006E44C4">
                  <w:rPr>
                    <w:rFonts w:ascii="Calibri" w:eastAsia="Times" w:hAnsi="Calibri"/>
                    <w:b/>
                    <w:bCs/>
                    <w:sz w:val="22"/>
                    <w:szCs w:val="22"/>
                  </w:rPr>
                  <w:instrText>PAGE</w:instrText>
                </w:r>
                <w:r w:rsidR="00004C99" w:rsidRPr="006E44C4">
                  <w:rPr>
                    <w:rFonts w:ascii="Calibri" w:eastAsia="Times" w:hAnsi="Calibri"/>
                    <w:b/>
                    <w:bCs/>
                    <w:sz w:val="22"/>
                    <w:szCs w:val="22"/>
                  </w:rPr>
                  <w:fldChar w:fldCharType="separate"/>
                </w:r>
                <w:r w:rsidR="002B13F4">
                  <w:rPr>
                    <w:rFonts w:ascii="Calibri" w:eastAsia="Times" w:hAnsi="Calibri"/>
                    <w:b/>
                    <w:bCs/>
                    <w:noProof/>
                    <w:sz w:val="22"/>
                    <w:szCs w:val="22"/>
                  </w:rPr>
                  <w:t>1</w:t>
                </w:r>
                <w:r w:rsidR="00004C99" w:rsidRPr="006E44C4">
                  <w:rPr>
                    <w:rFonts w:ascii="Calibri" w:eastAsia="Times" w:hAnsi="Calibri"/>
                    <w:b/>
                    <w:bCs/>
                    <w:sz w:val="22"/>
                    <w:szCs w:val="22"/>
                  </w:rPr>
                  <w:fldChar w:fldCharType="end"/>
                </w:r>
                <w:r w:rsidR="00004C99" w:rsidRPr="006E44C4">
                  <w:rPr>
                    <w:rFonts w:ascii="Calibri" w:eastAsia="Times" w:hAnsi="Calibri"/>
                    <w:sz w:val="22"/>
                    <w:szCs w:val="22"/>
                  </w:rPr>
                  <w:t xml:space="preserve"> sur </w:t>
                </w:r>
                <w:r w:rsidR="00004C99" w:rsidRPr="006E44C4">
                  <w:rPr>
                    <w:rFonts w:ascii="Calibri" w:eastAsia="Times" w:hAnsi="Calibri"/>
                    <w:b/>
                    <w:bCs/>
                    <w:sz w:val="22"/>
                    <w:szCs w:val="22"/>
                  </w:rPr>
                  <w:fldChar w:fldCharType="begin"/>
                </w:r>
                <w:r w:rsidR="00004C99" w:rsidRPr="006E44C4">
                  <w:rPr>
                    <w:rFonts w:ascii="Calibri" w:eastAsia="Times" w:hAnsi="Calibri"/>
                    <w:b/>
                    <w:bCs/>
                    <w:sz w:val="22"/>
                    <w:szCs w:val="22"/>
                  </w:rPr>
                  <w:instrText>NUMPAGES</w:instrText>
                </w:r>
                <w:r w:rsidR="00004C99" w:rsidRPr="006E44C4">
                  <w:rPr>
                    <w:rFonts w:ascii="Calibri" w:eastAsia="Times" w:hAnsi="Calibri"/>
                    <w:b/>
                    <w:bCs/>
                    <w:sz w:val="22"/>
                    <w:szCs w:val="22"/>
                  </w:rPr>
                  <w:fldChar w:fldCharType="separate"/>
                </w:r>
                <w:r w:rsidR="002B13F4">
                  <w:rPr>
                    <w:rFonts w:ascii="Calibri" w:eastAsia="Times" w:hAnsi="Calibri"/>
                    <w:b/>
                    <w:bCs/>
                    <w:noProof/>
                    <w:sz w:val="22"/>
                    <w:szCs w:val="22"/>
                  </w:rPr>
                  <w:t>38</w:t>
                </w:r>
                <w:r w:rsidR="00004C99" w:rsidRPr="006E44C4">
                  <w:rPr>
                    <w:rFonts w:ascii="Calibri" w:eastAsia="Times" w:hAnsi="Calibri"/>
                    <w:b/>
                    <w:bCs/>
                    <w:sz w:val="22"/>
                    <w:szCs w:val="22"/>
                  </w:rPr>
                  <w:fldChar w:fldCharType="end"/>
                </w:r>
              </w:sdtContent>
            </w:sdt>
          </w:p>
          <w:p w14:paraId="4D5CCF69" w14:textId="67DB93EF" w:rsidR="00004C99" w:rsidRPr="002973F3" w:rsidRDefault="00004C99"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004C99" w:rsidRPr="002973F3" w:rsidRDefault="00004C99"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004C99" w:rsidRPr="002339BE" w:rsidRDefault="00004C99"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004C99" w:rsidRDefault="00004C99"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004C99" w:rsidRDefault="00004C99">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004C99" w:rsidRPr="00180F28" w:rsidRDefault="00004C99"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1CC91DAB" w:rsidR="00004C99" w:rsidRPr="00BA396D" w:rsidRDefault="00AE1B66"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004C99" w:rsidRPr="00BA396D">
          <w:rPr>
            <w:rFonts w:ascii="Calibri" w:eastAsia="Times" w:hAnsi="Calibri"/>
            <w:szCs w:val="20"/>
          </w:rPr>
          <w:tab/>
          <w:t xml:space="preserve">Page </w:t>
        </w:r>
        <w:r w:rsidR="00004C99" w:rsidRPr="00BA396D">
          <w:rPr>
            <w:rFonts w:ascii="Calibri" w:eastAsia="Times" w:hAnsi="Calibri"/>
            <w:b/>
            <w:bCs/>
            <w:szCs w:val="20"/>
          </w:rPr>
          <w:fldChar w:fldCharType="begin"/>
        </w:r>
        <w:r w:rsidR="00004C99" w:rsidRPr="00BA396D">
          <w:rPr>
            <w:rFonts w:ascii="Calibri" w:eastAsia="Times" w:hAnsi="Calibri"/>
            <w:b/>
            <w:bCs/>
            <w:szCs w:val="20"/>
          </w:rPr>
          <w:instrText>PAGE</w:instrText>
        </w:r>
        <w:r w:rsidR="00004C99" w:rsidRPr="00BA396D">
          <w:rPr>
            <w:rFonts w:ascii="Calibri" w:eastAsia="Times" w:hAnsi="Calibri"/>
            <w:b/>
            <w:bCs/>
            <w:szCs w:val="20"/>
          </w:rPr>
          <w:fldChar w:fldCharType="separate"/>
        </w:r>
        <w:r w:rsidR="002B13F4">
          <w:rPr>
            <w:rFonts w:ascii="Calibri" w:eastAsia="Times" w:hAnsi="Calibri"/>
            <w:b/>
            <w:bCs/>
            <w:noProof/>
            <w:szCs w:val="20"/>
          </w:rPr>
          <w:t>14</w:t>
        </w:r>
        <w:r w:rsidR="00004C99" w:rsidRPr="00BA396D">
          <w:rPr>
            <w:rFonts w:ascii="Calibri" w:eastAsia="Times" w:hAnsi="Calibri"/>
            <w:b/>
            <w:bCs/>
            <w:szCs w:val="20"/>
          </w:rPr>
          <w:fldChar w:fldCharType="end"/>
        </w:r>
        <w:r w:rsidR="00004C99" w:rsidRPr="00BA396D">
          <w:rPr>
            <w:rFonts w:ascii="Calibri" w:eastAsia="Times" w:hAnsi="Calibri"/>
            <w:szCs w:val="20"/>
          </w:rPr>
          <w:t xml:space="preserve"> sur </w:t>
        </w:r>
        <w:r w:rsidR="00004C99" w:rsidRPr="00BA396D">
          <w:rPr>
            <w:rFonts w:ascii="Calibri" w:eastAsia="Times" w:hAnsi="Calibri"/>
            <w:b/>
            <w:bCs/>
            <w:szCs w:val="20"/>
          </w:rPr>
          <w:fldChar w:fldCharType="begin"/>
        </w:r>
        <w:r w:rsidR="00004C99" w:rsidRPr="00BA396D">
          <w:rPr>
            <w:rFonts w:ascii="Calibri" w:eastAsia="Times" w:hAnsi="Calibri"/>
            <w:b/>
            <w:bCs/>
            <w:szCs w:val="20"/>
          </w:rPr>
          <w:instrText>NUMPAGES</w:instrText>
        </w:r>
        <w:r w:rsidR="00004C99" w:rsidRPr="00BA396D">
          <w:rPr>
            <w:rFonts w:ascii="Calibri" w:eastAsia="Times" w:hAnsi="Calibri"/>
            <w:b/>
            <w:bCs/>
            <w:szCs w:val="20"/>
          </w:rPr>
          <w:fldChar w:fldCharType="separate"/>
        </w:r>
        <w:r w:rsidR="002B13F4">
          <w:rPr>
            <w:rFonts w:ascii="Calibri" w:eastAsia="Times" w:hAnsi="Calibri"/>
            <w:b/>
            <w:bCs/>
            <w:noProof/>
            <w:szCs w:val="20"/>
          </w:rPr>
          <w:t>38</w:t>
        </w:r>
        <w:r w:rsidR="00004C99"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E02EA" w14:textId="77777777" w:rsidR="00AE1B66" w:rsidRDefault="00AE1B66">
      <w:r>
        <w:separator/>
      </w:r>
    </w:p>
  </w:footnote>
  <w:footnote w:type="continuationSeparator" w:id="0">
    <w:p w14:paraId="3F0A576C" w14:textId="77777777" w:rsidR="00AE1B66" w:rsidRDefault="00AE1B66">
      <w:r>
        <w:continuationSeparator/>
      </w:r>
    </w:p>
  </w:footnote>
  <w:footnote w:id="1">
    <w:p w14:paraId="661FAB0E" w14:textId="05034CA9" w:rsidR="00004C99" w:rsidRPr="00096401" w:rsidRDefault="00004C99"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004C99" w:rsidRPr="00A222DB" w:rsidRDefault="00004C99"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004C99" w:rsidRPr="00096401" w:rsidRDefault="00004C99"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004C99" w:rsidRPr="00A222DB" w:rsidRDefault="00004C99"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5174F716" w14:textId="77777777" w:rsidR="00004C99" w:rsidRPr="00A222DB" w:rsidRDefault="00004C99" w:rsidP="00A053E1">
      <w:pPr>
        <w:pStyle w:val="Notedebasdepage"/>
        <w:ind w:left="284" w:hanging="284"/>
      </w:pPr>
      <w:r w:rsidRPr="00096401">
        <w:rPr>
          <w:rStyle w:val="Appelnotedebasdep"/>
          <w:sz w:val="16"/>
        </w:rPr>
        <w:footnoteRef/>
      </w:r>
      <w:r w:rsidRPr="00096401">
        <w:rPr>
          <w:sz w:val="16"/>
        </w:rPr>
        <w:t xml:space="preserve"> </w:t>
      </w:r>
      <w:r w:rsidRPr="00096401">
        <w:rPr>
          <w:sz w:val="16"/>
        </w:rPr>
        <w:tab/>
        <w:t>Supprimer la disposition en cas de contractant unique. En cas de contractants multiples, sélectionner la première option pour les contrats-cadres</w:t>
      </w:r>
      <w:proofErr w:type="gramStart"/>
      <w:r w:rsidRPr="00096401">
        <w:rPr>
          <w:sz w:val="16"/>
        </w:rPr>
        <w:t xml:space="preserve"> «en</w:t>
      </w:r>
      <w:proofErr w:type="gramEnd"/>
      <w:r w:rsidRPr="00096401">
        <w:rPr>
          <w:sz w:val="16"/>
        </w:rPr>
        <w:t xml:space="preserve"> cascade», en indiquant si le contractant est premier, deuxième, …. </w:t>
      </w:r>
      <w:proofErr w:type="gramStart"/>
      <w:r w:rsidRPr="00096401">
        <w:rPr>
          <w:sz w:val="16"/>
        </w:rPr>
        <w:t>sur</w:t>
      </w:r>
      <w:proofErr w:type="gramEnd"/>
      <w:r w:rsidRPr="00096401">
        <w:rPr>
          <w:sz w:val="16"/>
        </w:rPr>
        <w:t xml:space="preserve"> la liste, ou la seconde option pour les contrats-cadres avec remise en concurrence, en indiquant le nombre total de contractants.</w:t>
      </w:r>
    </w:p>
  </w:footnote>
  <w:footnote w:id="6">
    <w:p w14:paraId="604A466F" w14:textId="77777777" w:rsidR="00004C99" w:rsidRPr="00A222DB" w:rsidRDefault="00004C99"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7">
    <w:p w14:paraId="207D65D6" w14:textId="77777777" w:rsidR="00004C99" w:rsidRPr="00A222DB" w:rsidRDefault="00004C99" w:rsidP="00AC78D7">
      <w:pPr>
        <w:pStyle w:val="Notedebasdepage"/>
      </w:pPr>
      <w:r w:rsidRPr="00096401">
        <w:rPr>
          <w:rStyle w:val="Appelnotedebasdep"/>
          <w:sz w:val="16"/>
        </w:rPr>
        <w:footnoteRef/>
      </w:r>
      <w:r w:rsidRPr="00096401">
        <w:rPr>
          <w:sz w:val="16"/>
        </w:rPr>
        <w:t xml:space="preserve"> </w:t>
      </w:r>
      <w:r w:rsidRPr="00096401">
        <w:rPr>
          <w:sz w:val="16"/>
        </w:rPr>
        <w:tab/>
        <w:t>Il est fortement recommandé de prévoir un prix global incluant toutes les parties des services, de sorte que cette option doit être supprimée, sauf dans des cas exceptionnels. En principe, en cas de remboursement de frais, les modalités doivent être définies dans le contrat-cadre et non pas dans le bon de commande ou le contrat spécifique.</w:t>
      </w:r>
    </w:p>
  </w:footnote>
  <w:footnote w:id="8">
    <w:p w14:paraId="215D2D1D" w14:textId="77777777" w:rsidR="00004C99" w:rsidRPr="00A222DB" w:rsidRDefault="00004C99"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en revanche, une clause portant sur le règlement du solde doit toujours être prévue.</w:t>
      </w:r>
    </w:p>
  </w:footnote>
  <w:footnote w:id="9">
    <w:p w14:paraId="0E98725A" w14:textId="77777777" w:rsidR="00004C99" w:rsidRPr="00096401" w:rsidRDefault="00004C99" w:rsidP="00487D5D">
      <w:pPr>
        <w:pStyle w:val="Notedebasdepage"/>
        <w:rPr>
          <w:sz w:val="16"/>
          <w:szCs w:val="16"/>
        </w:rPr>
      </w:pPr>
      <w:r w:rsidRPr="00A222DB">
        <w:rPr>
          <w:rStyle w:val="Appelnotedebasdep"/>
        </w:rPr>
        <w:footnoteRef/>
      </w:r>
      <w:r w:rsidRPr="00A222DB">
        <w:t xml:space="preserve"> </w:t>
      </w:r>
      <w:r w:rsidRPr="00A222DB">
        <w:tab/>
      </w:r>
      <w:r w:rsidRPr="00096401">
        <w:rPr>
          <w:sz w:val="16"/>
          <w:szCs w:val="16"/>
        </w:rPr>
        <w:t xml:space="preserve">Le préfinancement doit être </w:t>
      </w:r>
      <w:r w:rsidRPr="00096401">
        <w:rPr>
          <w:sz w:val="16"/>
          <w:szCs w:val="16"/>
          <w:u w:val="single"/>
        </w:rPr>
        <w:t>exceptionnel</w:t>
      </w:r>
      <w:r w:rsidRPr="00096401">
        <w:rPr>
          <w:sz w:val="16"/>
          <w:szCs w:val="16"/>
        </w:rPr>
        <w:t xml:space="preserve"> dans les marchés publics. S'il est appliqué, il ne dépassera pas 30 % du montant total du bon de commande ou du contrat spécifique. </w:t>
      </w:r>
    </w:p>
  </w:footnote>
  <w:footnote w:id="10">
    <w:p w14:paraId="3BDC8C55" w14:textId="77777777" w:rsidR="00004C99" w:rsidRPr="00A222DB" w:rsidRDefault="00004C99"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11">
    <w:p w14:paraId="0A1C16B6" w14:textId="77777777" w:rsidR="00004C99" w:rsidRPr="00740822" w:rsidRDefault="00004C99"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2">
    <w:p w14:paraId="729FE95B" w14:textId="77777777" w:rsidR="00004C99" w:rsidRPr="00740822" w:rsidRDefault="00004C99"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099" w14:textId="77777777" w:rsidR="00004C99" w:rsidRDefault="00004C9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004C99" w:rsidRDefault="00004C99"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004C99" w:rsidRPr="00BA396D" w:rsidRDefault="00004C99"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004C99" w:rsidRDefault="00004C99"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004C99" w:rsidRDefault="00004C99"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004C99" w:rsidRPr="00BE3789" w:rsidRDefault="00004C99"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004C99" w:rsidRDefault="00004C99"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004C99" w:rsidRPr="00FD0082" w:rsidRDefault="00004C99"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9"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0"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6"/>
  </w:num>
  <w:num w:numId="14">
    <w:abstractNumId w:val="21"/>
  </w:num>
  <w:num w:numId="15">
    <w:abstractNumId w:val="29"/>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5"/>
  </w:num>
  <w:num w:numId="23">
    <w:abstractNumId w:val="5"/>
  </w:num>
  <w:num w:numId="24">
    <w:abstractNumId w:val="4"/>
  </w:num>
  <w:num w:numId="25">
    <w:abstractNumId w:val="13"/>
  </w:num>
  <w:num w:numId="26">
    <w:abstractNumId w:val="27"/>
  </w:num>
  <w:num w:numId="27">
    <w:abstractNumId w:val="12"/>
  </w:num>
  <w:num w:numId="28">
    <w:abstractNumId w:val="18"/>
  </w:num>
  <w:num w:numId="29">
    <w:abstractNumId w:val="12"/>
  </w:num>
  <w:num w:numId="30">
    <w:abstractNumId w:val="28"/>
  </w:num>
  <w:num w:numId="31">
    <w:abstractNumId w:val="15"/>
  </w:num>
  <w:num w:numId="32">
    <w:abstractNumId w:val="12"/>
  </w:num>
  <w:num w:numId="33">
    <w:abstractNumId w:val="18"/>
  </w:num>
  <w:num w:numId="34">
    <w:abstractNumId w:val="12"/>
  </w:num>
  <w:num w:numId="35">
    <w:abstractNumId w:val="30"/>
  </w:num>
  <w:num w:numId="36">
    <w:abstractNumId w:val="12"/>
  </w:num>
  <w:num w:numId="37">
    <w:abstractNumId w:val="28"/>
  </w:num>
  <w:num w:numId="38">
    <w:abstractNumId w:val="28"/>
  </w:num>
  <w:num w:numId="3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4C99"/>
    <w:rsid w:val="00005B95"/>
    <w:rsid w:val="00005E81"/>
    <w:rsid w:val="00006766"/>
    <w:rsid w:val="000110BC"/>
    <w:rsid w:val="0001169B"/>
    <w:rsid w:val="00012FDD"/>
    <w:rsid w:val="0001314E"/>
    <w:rsid w:val="0001343F"/>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6C27"/>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5203"/>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0485"/>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5CC"/>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13F4"/>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56C1"/>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0EFD"/>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5E7B"/>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2EAA"/>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15EEB"/>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0F6"/>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30B"/>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1B66"/>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0D52"/>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D8E"/>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577EA"/>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1CB1"/>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21B2"/>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8B5"/>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3E751A72-1850-490D-A4D6-31E8199A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NormalWeb">
    <w:name w:val="Normal (Web)"/>
    <w:basedOn w:val="Normal"/>
    <w:uiPriority w:val="99"/>
    <w:unhideWhenUsed/>
    <w:rsid w:val="007F20F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686835063">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86321975">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17423196">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24589923">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55166947">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2589864">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eader" Target="header2.xml"/><Relationship Id="rId26"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http://www.expertisefrance.fr"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footer" Target="foot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package" Target="embeddings/Feuille_de_calcul_Microsoft_Excel.xlsx"/><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footer" Target="footer4.xml"/><Relationship Id="rId10" Type="http://schemas.openxmlformats.org/officeDocument/2006/relationships/hyperlink" Target="mailto:pole.ca.usp.bj.tg@expertisefrance.fr" TargetMode="External"/><Relationship Id="rId19" Type="http://schemas.openxmlformats.org/officeDocument/2006/relationships/footer" Target="footer1.xm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A611633D-028E-467F-A477-D02BE691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38</Pages>
  <Words>11842</Words>
  <Characters>65131</Characters>
  <Application>Microsoft Office Word</Application>
  <DocSecurity>0</DocSecurity>
  <Lines>542</Lines>
  <Paragraphs>153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76820</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Hébert LANMATCHION</cp:lastModifiedBy>
  <cp:revision>6</cp:revision>
  <cp:lastPrinted>2016-12-12T14:17:00Z</cp:lastPrinted>
  <dcterms:created xsi:type="dcterms:W3CDTF">2024-10-14T13:58:00Z</dcterms:created>
  <dcterms:modified xsi:type="dcterms:W3CDTF">2026-02-12T09:12:00Z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